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B1FC9A" w14:textId="6A4011E5" w:rsidR="00013D05" w:rsidRPr="000A4484" w:rsidRDefault="00E20C1F" w:rsidP="00E20C1F">
      <w:pPr>
        <w:jc w:val="center"/>
        <w:rPr>
          <w:b/>
          <w:bCs/>
          <w:sz w:val="23"/>
          <w:szCs w:val="23"/>
        </w:rPr>
      </w:pPr>
      <w:r w:rsidRPr="000A4484">
        <w:rPr>
          <w:b/>
          <w:bCs/>
          <w:sz w:val="23"/>
          <w:szCs w:val="23"/>
        </w:rPr>
        <w:t xml:space="preserve">CASE NOTE: STATE OF VICTORIA v ALLAN THOMPSON </w:t>
      </w:r>
    </w:p>
    <w:p w14:paraId="487F13F1" w14:textId="7C95A1DC" w:rsidR="00A40F01" w:rsidRPr="000A4484" w:rsidRDefault="007D2C45" w:rsidP="00BC45E1">
      <w:pPr>
        <w:jc w:val="both"/>
        <w:rPr>
          <w:b/>
          <w:bCs/>
          <w:sz w:val="23"/>
          <w:szCs w:val="23"/>
        </w:rPr>
      </w:pPr>
      <w:r w:rsidRPr="000A4484">
        <w:rPr>
          <w:b/>
          <w:bCs/>
          <w:sz w:val="23"/>
          <w:szCs w:val="23"/>
        </w:rPr>
        <w:t xml:space="preserve">BACKGROUND </w:t>
      </w:r>
    </w:p>
    <w:p w14:paraId="36FB703C" w14:textId="2F80BA6D" w:rsidR="00E20C1F" w:rsidRPr="000A4484" w:rsidRDefault="00BC45E1" w:rsidP="00F66D07">
      <w:pPr>
        <w:spacing w:line="360" w:lineRule="auto"/>
        <w:jc w:val="both"/>
        <w:rPr>
          <w:sz w:val="23"/>
          <w:szCs w:val="23"/>
        </w:rPr>
      </w:pPr>
      <w:r w:rsidRPr="000A4484">
        <w:rPr>
          <w:sz w:val="23"/>
          <w:szCs w:val="23"/>
        </w:rPr>
        <w:t xml:space="preserve">On 25 October 2019, </w:t>
      </w:r>
      <w:r w:rsidR="00372FD2" w:rsidRPr="000A4484">
        <w:rPr>
          <w:sz w:val="23"/>
          <w:szCs w:val="23"/>
        </w:rPr>
        <w:t xml:space="preserve">the Victorian Court of Appeal </w:t>
      </w:r>
      <w:r w:rsidR="00816599" w:rsidRPr="000A4484">
        <w:rPr>
          <w:sz w:val="23"/>
          <w:szCs w:val="23"/>
        </w:rPr>
        <w:t>handed down</w:t>
      </w:r>
      <w:r w:rsidR="00834A9E">
        <w:rPr>
          <w:sz w:val="23"/>
          <w:szCs w:val="23"/>
        </w:rPr>
        <w:t xml:space="preserve"> a significant decision of</w:t>
      </w:r>
      <w:r w:rsidR="00816599" w:rsidRPr="000A4484">
        <w:rPr>
          <w:sz w:val="23"/>
          <w:szCs w:val="23"/>
        </w:rPr>
        <w:t xml:space="preserve"> </w:t>
      </w:r>
      <w:r w:rsidR="007D2A96" w:rsidRPr="000A4484">
        <w:rPr>
          <w:i/>
          <w:iCs/>
          <w:sz w:val="23"/>
          <w:szCs w:val="23"/>
        </w:rPr>
        <w:t xml:space="preserve">State of Victoria v Allan Thompson </w:t>
      </w:r>
      <w:r w:rsidR="007D2A96" w:rsidRPr="000A4484">
        <w:rPr>
          <w:sz w:val="23"/>
          <w:szCs w:val="23"/>
        </w:rPr>
        <w:t>[2019] VSCA 237</w:t>
      </w:r>
      <w:r w:rsidR="00204DA1" w:rsidRPr="000A4484">
        <w:rPr>
          <w:sz w:val="23"/>
          <w:szCs w:val="23"/>
        </w:rPr>
        <w:t xml:space="preserve"> (</w:t>
      </w:r>
      <w:r w:rsidR="00DC0807">
        <w:rPr>
          <w:sz w:val="23"/>
          <w:szCs w:val="23"/>
        </w:rPr>
        <w:t xml:space="preserve">per </w:t>
      </w:r>
      <w:r w:rsidR="00204DA1" w:rsidRPr="000A4484">
        <w:rPr>
          <w:sz w:val="23"/>
          <w:szCs w:val="23"/>
        </w:rPr>
        <w:t xml:space="preserve">Beach </w:t>
      </w:r>
      <w:r w:rsidR="00F622DD" w:rsidRPr="000A4484">
        <w:rPr>
          <w:sz w:val="23"/>
          <w:szCs w:val="23"/>
        </w:rPr>
        <w:t>and</w:t>
      </w:r>
      <w:r w:rsidR="00204DA1" w:rsidRPr="000A4484">
        <w:rPr>
          <w:sz w:val="23"/>
          <w:szCs w:val="23"/>
        </w:rPr>
        <w:t xml:space="preserve"> Osborn </w:t>
      </w:r>
      <w:r w:rsidR="00F622DD" w:rsidRPr="000A4484">
        <w:rPr>
          <w:sz w:val="23"/>
          <w:szCs w:val="23"/>
        </w:rPr>
        <w:t>J</w:t>
      </w:r>
      <w:r w:rsidR="00204DA1" w:rsidRPr="000A4484">
        <w:rPr>
          <w:sz w:val="23"/>
          <w:szCs w:val="23"/>
        </w:rPr>
        <w:t>JA</w:t>
      </w:r>
      <w:r w:rsidR="00F622DD" w:rsidRPr="000A4484">
        <w:rPr>
          <w:sz w:val="23"/>
          <w:szCs w:val="23"/>
        </w:rPr>
        <w:t>,</w:t>
      </w:r>
      <w:r w:rsidR="00204DA1" w:rsidRPr="000A4484">
        <w:rPr>
          <w:sz w:val="23"/>
          <w:szCs w:val="23"/>
        </w:rPr>
        <w:t xml:space="preserve"> and Kennedy AJA)</w:t>
      </w:r>
      <w:r w:rsidR="007D2A96" w:rsidRPr="000A4484">
        <w:rPr>
          <w:sz w:val="23"/>
          <w:szCs w:val="23"/>
        </w:rPr>
        <w:t xml:space="preserve">. </w:t>
      </w:r>
      <w:r w:rsidR="002E58A3" w:rsidRPr="000A4484">
        <w:rPr>
          <w:sz w:val="23"/>
          <w:szCs w:val="23"/>
        </w:rPr>
        <w:t xml:space="preserve"> This case deals with </w:t>
      </w:r>
      <w:r w:rsidR="000F1482" w:rsidRPr="000A4484">
        <w:rPr>
          <w:sz w:val="23"/>
          <w:szCs w:val="23"/>
        </w:rPr>
        <w:t xml:space="preserve">the application of the ‘significant injury’ threshold for damages for non-economic loss in cases concerning </w:t>
      </w:r>
      <w:r w:rsidR="00DC0807">
        <w:rPr>
          <w:sz w:val="23"/>
          <w:szCs w:val="23"/>
        </w:rPr>
        <w:t xml:space="preserve">or relating to </w:t>
      </w:r>
      <w:r w:rsidR="000F1482" w:rsidRPr="000A4484">
        <w:rPr>
          <w:sz w:val="23"/>
          <w:szCs w:val="23"/>
        </w:rPr>
        <w:t>an intentional act</w:t>
      </w:r>
      <w:r w:rsidR="0038129D">
        <w:rPr>
          <w:sz w:val="23"/>
          <w:szCs w:val="23"/>
        </w:rPr>
        <w:t xml:space="preserve"> under the </w:t>
      </w:r>
      <w:r w:rsidR="0038129D">
        <w:rPr>
          <w:i/>
          <w:sz w:val="23"/>
          <w:szCs w:val="23"/>
        </w:rPr>
        <w:t xml:space="preserve">Wrongs Act 1958 </w:t>
      </w:r>
      <w:r w:rsidR="0038129D">
        <w:rPr>
          <w:iCs/>
          <w:sz w:val="23"/>
          <w:szCs w:val="23"/>
        </w:rPr>
        <w:t>(Vic)</w:t>
      </w:r>
      <w:r w:rsidR="000F1482" w:rsidRPr="000A4484">
        <w:rPr>
          <w:sz w:val="23"/>
          <w:szCs w:val="23"/>
        </w:rPr>
        <w:t xml:space="preserve">. </w:t>
      </w:r>
    </w:p>
    <w:p w14:paraId="62203B28" w14:textId="06D50422" w:rsidR="00A83C30" w:rsidRPr="000A4484" w:rsidRDefault="005A751E" w:rsidP="00F66D07">
      <w:pPr>
        <w:spacing w:line="360" w:lineRule="auto"/>
        <w:jc w:val="both"/>
        <w:rPr>
          <w:sz w:val="23"/>
          <w:szCs w:val="23"/>
        </w:rPr>
      </w:pPr>
      <w:r w:rsidRPr="000A4484">
        <w:rPr>
          <w:sz w:val="23"/>
          <w:szCs w:val="23"/>
        </w:rPr>
        <w:t>Thompson brings his claim against the State</w:t>
      </w:r>
      <w:r w:rsidR="002A247A" w:rsidRPr="000A4484">
        <w:rPr>
          <w:sz w:val="23"/>
          <w:szCs w:val="23"/>
        </w:rPr>
        <w:t xml:space="preserve"> in negligence</w:t>
      </w:r>
      <w:r w:rsidR="00FB10DA" w:rsidRPr="000A4484">
        <w:rPr>
          <w:sz w:val="23"/>
          <w:szCs w:val="23"/>
        </w:rPr>
        <w:t xml:space="preserve"> and breach of statutory duty</w:t>
      </w:r>
      <w:r w:rsidRPr="000A4484">
        <w:rPr>
          <w:sz w:val="23"/>
          <w:szCs w:val="23"/>
        </w:rPr>
        <w:t xml:space="preserve"> arising from a stabbing by a fellow inmate at Dhurringile Prison, Murchison.</w:t>
      </w:r>
      <w:r w:rsidR="00D07072">
        <w:rPr>
          <w:rStyle w:val="FootnoteReference"/>
          <w:sz w:val="23"/>
          <w:szCs w:val="23"/>
        </w:rPr>
        <w:footnoteReference w:id="1"/>
      </w:r>
      <w:r w:rsidRPr="000A4484">
        <w:rPr>
          <w:sz w:val="23"/>
          <w:szCs w:val="23"/>
        </w:rPr>
        <w:t xml:space="preserve"> </w:t>
      </w:r>
    </w:p>
    <w:p w14:paraId="469B54FD" w14:textId="6A4505A4" w:rsidR="00BC478B" w:rsidRPr="000A4484" w:rsidRDefault="006615E9" w:rsidP="00F66D07">
      <w:pPr>
        <w:spacing w:line="360" w:lineRule="auto"/>
        <w:jc w:val="both"/>
        <w:rPr>
          <w:sz w:val="23"/>
          <w:szCs w:val="23"/>
        </w:rPr>
      </w:pPr>
      <w:r w:rsidRPr="000A4484">
        <w:rPr>
          <w:sz w:val="23"/>
          <w:szCs w:val="23"/>
        </w:rPr>
        <w:t xml:space="preserve">The Plaintiff seeks damages for non-economic loss against the State without having satisfied the ‘significant injury’ threshold required under Part VBA of the </w:t>
      </w:r>
      <w:r w:rsidRPr="000A4484">
        <w:rPr>
          <w:i/>
          <w:iCs/>
          <w:sz w:val="23"/>
          <w:szCs w:val="23"/>
        </w:rPr>
        <w:t xml:space="preserve">Wrongs Act 1958 </w:t>
      </w:r>
      <w:r w:rsidRPr="000A4484">
        <w:rPr>
          <w:sz w:val="23"/>
          <w:szCs w:val="23"/>
        </w:rPr>
        <w:t xml:space="preserve">(Vic). </w:t>
      </w:r>
    </w:p>
    <w:p w14:paraId="74F64CE0" w14:textId="5EE90BB7" w:rsidR="00B94038" w:rsidRPr="000A4484" w:rsidRDefault="007B28E2" w:rsidP="00F66D07">
      <w:pPr>
        <w:spacing w:line="360" w:lineRule="auto"/>
        <w:jc w:val="both"/>
        <w:rPr>
          <w:sz w:val="23"/>
          <w:szCs w:val="23"/>
        </w:rPr>
      </w:pPr>
      <w:r w:rsidRPr="000A4484">
        <w:rPr>
          <w:sz w:val="23"/>
          <w:szCs w:val="23"/>
        </w:rPr>
        <w:t xml:space="preserve">Section 28LC(2) provides, relevantly: </w:t>
      </w:r>
    </w:p>
    <w:p w14:paraId="7C829558" w14:textId="77777777" w:rsidR="00104153" w:rsidRPr="000A4484" w:rsidRDefault="00104153" w:rsidP="00F66D07">
      <w:pPr>
        <w:spacing w:line="360" w:lineRule="auto"/>
        <w:ind w:left="720"/>
        <w:jc w:val="both"/>
        <w:rPr>
          <w:i/>
          <w:iCs/>
          <w:sz w:val="23"/>
          <w:szCs w:val="23"/>
        </w:rPr>
      </w:pPr>
      <w:r w:rsidRPr="000A4484">
        <w:rPr>
          <w:i/>
          <w:iCs/>
          <w:sz w:val="23"/>
          <w:szCs w:val="23"/>
        </w:rPr>
        <w:t xml:space="preserve">(2) This Part </w:t>
      </w:r>
      <w:r w:rsidRPr="000A4484">
        <w:rPr>
          <w:sz w:val="23"/>
          <w:szCs w:val="23"/>
        </w:rPr>
        <w:t>[Part VBA]</w:t>
      </w:r>
      <w:r w:rsidRPr="000A4484">
        <w:rPr>
          <w:i/>
          <w:iCs/>
          <w:sz w:val="23"/>
          <w:szCs w:val="23"/>
        </w:rPr>
        <w:t xml:space="preserve"> does not apply to the following claims for the recovery of damages for non-economic loss- </w:t>
      </w:r>
    </w:p>
    <w:p w14:paraId="38A85930" w14:textId="77777777" w:rsidR="00104153" w:rsidRPr="000A4484" w:rsidRDefault="00104153" w:rsidP="00F66D07">
      <w:pPr>
        <w:spacing w:line="360" w:lineRule="auto"/>
        <w:ind w:left="709"/>
        <w:jc w:val="both"/>
        <w:rPr>
          <w:i/>
          <w:iCs/>
          <w:sz w:val="23"/>
          <w:szCs w:val="23"/>
        </w:rPr>
      </w:pPr>
      <w:r w:rsidRPr="000A4484">
        <w:rPr>
          <w:i/>
          <w:iCs/>
          <w:sz w:val="23"/>
          <w:szCs w:val="23"/>
        </w:rPr>
        <w:t xml:space="preserve">(a) a claim where the fault concerned is, or relates to, an intentional act that is done with intent to cause death or injury or that is sexual assault or other sexual misconduct; </w:t>
      </w:r>
    </w:p>
    <w:p w14:paraId="2D73549B" w14:textId="4410A9BC" w:rsidR="000E7CF0" w:rsidRPr="000A4484" w:rsidRDefault="00104153" w:rsidP="00F66D07">
      <w:pPr>
        <w:spacing w:line="360" w:lineRule="auto"/>
        <w:ind w:firstLine="709"/>
        <w:jc w:val="both"/>
        <w:rPr>
          <w:i/>
          <w:iCs/>
          <w:sz w:val="23"/>
          <w:szCs w:val="23"/>
        </w:rPr>
      </w:pPr>
      <w:r w:rsidRPr="000A4484">
        <w:rPr>
          <w:i/>
          <w:iCs/>
          <w:sz w:val="23"/>
          <w:szCs w:val="23"/>
        </w:rPr>
        <w:t>...</w:t>
      </w:r>
    </w:p>
    <w:p w14:paraId="4E4C5E2C" w14:textId="1EC3D12C" w:rsidR="00104153" w:rsidRPr="000A4484" w:rsidRDefault="00226C5B" w:rsidP="00F66D07">
      <w:pPr>
        <w:spacing w:line="360" w:lineRule="auto"/>
        <w:jc w:val="both"/>
        <w:rPr>
          <w:sz w:val="23"/>
          <w:szCs w:val="23"/>
        </w:rPr>
      </w:pPr>
      <w:r>
        <w:rPr>
          <w:sz w:val="23"/>
          <w:szCs w:val="23"/>
        </w:rPr>
        <w:t>In this dispute, t</w:t>
      </w:r>
      <w:r w:rsidR="00A40F01" w:rsidRPr="000A4484">
        <w:rPr>
          <w:sz w:val="23"/>
          <w:szCs w:val="23"/>
        </w:rPr>
        <w:t xml:space="preserve">he Plaintiff </w:t>
      </w:r>
      <w:r w:rsidR="00DC34B1" w:rsidRPr="000A4484">
        <w:rPr>
          <w:sz w:val="23"/>
          <w:szCs w:val="23"/>
        </w:rPr>
        <w:t xml:space="preserve">contended that his claim against the Defendant </w:t>
      </w:r>
      <w:r w:rsidR="00C8605F" w:rsidRPr="000A4484">
        <w:rPr>
          <w:sz w:val="23"/>
          <w:szCs w:val="23"/>
        </w:rPr>
        <w:t>‘relates</w:t>
      </w:r>
      <w:r w:rsidR="00C94921" w:rsidRPr="000A4484">
        <w:rPr>
          <w:sz w:val="23"/>
          <w:szCs w:val="23"/>
        </w:rPr>
        <w:t xml:space="preserve"> to’ an intentional act done by the fellow inmate.  </w:t>
      </w:r>
      <w:r w:rsidR="00083739" w:rsidRPr="000A4484">
        <w:rPr>
          <w:sz w:val="23"/>
          <w:szCs w:val="23"/>
        </w:rPr>
        <w:t xml:space="preserve">Thus, although his case is in negligence and breach of statutory duty against the Defendant, it ‘relates to’ an intentional act. </w:t>
      </w:r>
    </w:p>
    <w:p w14:paraId="52C28A37" w14:textId="443B63BA" w:rsidR="006D45C0" w:rsidRPr="000A4484" w:rsidRDefault="006D45C0" w:rsidP="00F66D07">
      <w:pPr>
        <w:spacing w:line="360" w:lineRule="auto"/>
        <w:jc w:val="both"/>
        <w:rPr>
          <w:sz w:val="23"/>
          <w:szCs w:val="23"/>
        </w:rPr>
      </w:pPr>
      <w:r w:rsidRPr="000A4484">
        <w:rPr>
          <w:sz w:val="23"/>
          <w:szCs w:val="23"/>
        </w:rPr>
        <w:t xml:space="preserve">The Defendant submitted that </w:t>
      </w:r>
      <w:r w:rsidR="00C80DEB" w:rsidRPr="000A4484">
        <w:rPr>
          <w:sz w:val="23"/>
          <w:szCs w:val="23"/>
        </w:rPr>
        <w:t xml:space="preserve">he would only be entitled to seek damages for non-economic loss without satisfying ‘significant injury’ as against the perpetrator of the </w:t>
      </w:r>
      <w:r w:rsidR="00811796" w:rsidRPr="000A4484">
        <w:rPr>
          <w:sz w:val="23"/>
          <w:szCs w:val="23"/>
        </w:rPr>
        <w:t>intentional act, not a third party</w:t>
      </w:r>
      <w:r w:rsidR="0035350E" w:rsidRPr="000A4484">
        <w:rPr>
          <w:sz w:val="23"/>
          <w:szCs w:val="23"/>
        </w:rPr>
        <w:t xml:space="preserve">. </w:t>
      </w:r>
    </w:p>
    <w:p w14:paraId="414B3759" w14:textId="77777777" w:rsidR="00714793" w:rsidRDefault="00714793" w:rsidP="00F66D07">
      <w:pPr>
        <w:spacing w:line="360" w:lineRule="auto"/>
        <w:jc w:val="both"/>
        <w:rPr>
          <w:sz w:val="23"/>
          <w:szCs w:val="23"/>
        </w:rPr>
      </w:pPr>
    </w:p>
    <w:p w14:paraId="2A6BB3A7" w14:textId="306AB55D" w:rsidR="00714793" w:rsidRPr="00714793" w:rsidRDefault="00714793" w:rsidP="00F66D07">
      <w:pPr>
        <w:spacing w:line="360" w:lineRule="auto"/>
        <w:jc w:val="both"/>
        <w:rPr>
          <w:b/>
          <w:bCs/>
          <w:sz w:val="23"/>
          <w:szCs w:val="23"/>
        </w:rPr>
      </w:pPr>
      <w:r>
        <w:rPr>
          <w:b/>
          <w:bCs/>
          <w:sz w:val="23"/>
          <w:szCs w:val="23"/>
        </w:rPr>
        <w:lastRenderedPageBreak/>
        <w:t xml:space="preserve">DECISION </w:t>
      </w:r>
    </w:p>
    <w:p w14:paraId="7991B54F" w14:textId="7D9724CC" w:rsidR="00A563F2" w:rsidRPr="000A4484" w:rsidRDefault="00C16D2E" w:rsidP="00F66D07">
      <w:pPr>
        <w:spacing w:line="360" w:lineRule="auto"/>
        <w:jc w:val="both"/>
        <w:rPr>
          <w:sz w:val="23"/>
          <w:szCs w:val="23"/>
        </w:rPr>
      </w:pPr>
      <w:r w:rsidRPr="000A4484">
        <w:rPr>
          <w:sz w:val="23"/>
          <w:szCs w:val="23"/>
        </w:rPr>
        <w:t xml:space="preserve">The Court held that </w:t>
      </w:r>
      <w:r w:rsidR="008F5B31" w:rsidRPr="000A4484">
        <w:rPr>
          <w:sz w:val="23"/>
          <w:szCs w:val="23"/>
        </w:rPr>
        <w:t>the Plaintiff did not require a ‘</w:t>
      </w:r>
      <w:r w:rsidR="00F66D07" w:rsidRPr="000A4484">
        <w:rPr>
          <w:sz w:val="23"/>
          <w:szCs w:val="23"/>
        </w:rPr>
        <w:t>significant</w:t>
      </w:r>
      <w:r w:rsidR="008F5B31" w:rsidRPr="000A4484">
        <w:rPr>
          <w:sz w:val="23"/>
          <w:szCs w:val="23"/>
        </w:rPr>
        <w:t xml:space="preserve"> injury’ to claim damages for non-economic loss.  His claim against the State related to an intentional act of the fellow inmate</w:t>
      </w:r>
      <w:r w:rsidR="00693763" w:rsidRPr="000A4484">
        <w:rPr>
          <w:sz w:val="23"/>
          <w:szCs w:val="23"/>
        </w:rPr>
        <w:t xml:space="preserve"> and that was enough to meet the exclusion in section </w:t>
      </w:r>
      <w:r w:rsidR="00AC2174" w:rsidRPr="000A4484">
        <w:rPr>
          <w:sz w:val="23"/>
          <w:szCs w:val="23"/>
        </w:rPr>
        <w:t xml:space="preserve">28LC(2) on its plain wording.  </w:t>
      </w:r>
      <w:r w:rsidR="00BE6439" w:rsidRPr="000A4484">
        <w:rPr>
          <w:sz w:val="23"/>
          <w:szCs w:val="23"/>
        </w:rPr>
        <w:t xml:space="preserve">There was no justification for narrowing this provision to claims </w:t>
      </w:r>
      <w:r w:rsidR="002A4D4D" w:rsidRPr="000A4484">
        <w:rPr>
          <w:sz w:val="23"/>
          <w:szCs w:val="23"/>
        </w:rPr>
        <w:t>brought</w:t>
      </w:r>
      <w:r w:rsidR="00BE6439" w:rsidRPr="000A4484">
        <w:rPr>
          <w:sz w:val="23"/>
          <w:szCs w:val="23"/>
        </w:rPr>
        <w:t xml:space="preserve"> against the perpetrator only</w:t>
      </w:r>
      <w:r w:rsidR="00BA25E7">
        <w:rPr>
          <w:sz w:val="23"/>
          <w:szCs w:val="23"/>
        </w:rPr>
        <w:t>,</w:t>
      </w:r>
      <w:r w:rsidR="006B121F">
        <w:rPr>
          <w:sz w:val="23"/>
          <w:szCs w:val="23"/>
        </w:rPr>
        <w:t xml:space="preserve"> or to vicarious liability cases</w:t>
      </w:r>
      <w:r w:rsidR="00BE6439" w:rsidRPr="000A4484">
        <w:rPr>
          <w:sz w:val="23"/>
          <w:szCs w:val="23"/>
        </w:rPr>
        <w:t>.</w:t>
      </w:r>
      <w:r w:rsidR="006B121F">
        <w:rPr>
          <w:rStyle w:val="FootnoteReference"/>
          <w:sz w:val="23"/>
          <w:szCs w:val="23"/>
        </w:rPr>
        <w:footnoteReference w:id="2"/>
      </w:r>
      <w:r w:rsidR="00BE6439" w:rsidRPr="000A4484">
        <w:rPr>
          <w:sz w:val="23"/>
          <w:szCs w:val="23"/>
        </w:rPr>
        <w:t xml:space="preserve">  </w:t>
      </w:r>
      <w:r w:rsidR="00AC2174" w:rsidRPr="000A4484">
        <w:rPr>
          <w:sz w:val="23"/>
          <w:szCs w:val="23"/>
        </w:rPr>
        <w:t xml:space="preserve">Unlike the </w:t>
      </w:r>
      <w:r w:rsidR="00702949">
        <w:rPr>
          <w:sz w:val="23"/>
          <w:szCs w:val="23"/>
        </w:rPr>
        <w:t>first instance</w:t>
      </w:r>
      <w:r w:rsidR="00AC2174" w:rsidRPr="000A4484">
        <w:rPr>
          <w:sz w:val="23"/>
          <w:szCs w:val="23"/>
        </w:rPr>
        <w:t xml:space="preserve"> judge, the Court </w:t>
      </w:r>
      <w:r w:rsidR="00BA25E7">
        <w:rPr>
          <w:sz w:val="23"/>
          <w:szCs w:val="23"/>
        </w:rPr>
        <w:t xml:space="preserve">said it </w:t>
      </w:r>
      <w:r w:rsidR="00AC2174" w:rsidRPr="000A4484">
        <w:rPr>
          <w:sz w:val="23"/>
          <w:szCs w:val="23"/>
        </w:rPr>
        <w:t>did not need to rely on the</w:t>
      </w:r>
      <w:r w:rsidR="00A0647C" w:rsidRPr="000A4484">
        <w:rPr>
          <w:rFonts w:cs="Arial"/>
          <w:sz w:val="23"/>
          <w:szCs w:val="23"/>
        </w:rPr>
        <w:t xml:space="preserve"> principle of legality</w:t>
      </w:r>
      <w:r w:rsidR="00233423">
        <w:rPr>
          <w:rFonts w:cs="Arial"/>
          <w:sz w:val="23"/>
          <w:szCs w:val="23"/>
        </w:rPr>
        <w:t xml:space="preserve"> to come that this conclusion</w:t>
      </w:r>
      <w:r w:rsidR="00A0647C" w:rsidRPr="000A4484">
        <w:rPr>
          <w:rFonts w:cs="Arial"/>
          <w:sz w:val="23"/>
          <w:szCs w:val="23"/>
        </w:rPr>
        <w:t>.</w:t>
      </w:r>
      <w:r w:rsidR="00A0647C" w:rsidRPr="000A4484">
        <w:rPr>
          <w:rStyle w:val="FootnoteReference"/>
          <w:rFonts w:cs="Arial"/>
          <w:sz w:val="23"/>
          <w:szCs w:val="23"/>
        </w:rPr>
        <w:footnoteReference w:id="3"/>
      </w:r>
    </w:p>
    <w:p w14:paraId="30F64DA3" w14:textId="30F2E3F6" w:rsidR="00A563F2" w:rsidRPr="000A4484" w:rsidRDefault="00A563F2" w:rsidP="00F66D07">
      <w:pPr>
        <w:spacing w:line="360" w:lineRule="auto"/>
        <w:jc w:val="both"/>
        <w:rPr>
          <w:sz w:val="23"/>
          <w:szCs w:val="23"/>
        </w:rPr>
      </w:pPr>
      <w:r w:rsidRPr="000A4484">
        <w:rPr>
          <w:sz w:val="23"/>
          <w:szCs w:val="23"/>
        </w:rPr>
        <w:t>Other noteworthy aspects of the decision are:</w:t>
      </w:r>
    </w:p>
    <w:p w14:paraId="47B49B78" w14:textId="1FE5A3A2" w:rsidR="005F5D04" w:rsidRPr="000A4484" w:rsidRDefault="00E87910" w:rsidP="00EF3B4D">
      <w:pPr>
        <w:pStyle w:val="ListParagraph"/>
        <w:numPr>
          <w:ilvl w:val="0"/>
          <w:numId w:val="1"/>
        </w:numPr>
        <w:spacing w:line="360" w:lineRule="auto"/>
        <w:ind w:left="567" w:hanging="567"/>
        <w:jc w:val="both"/>
        <w:rPr>
          <w:sz w:val="23"/>
          <w:szCs w:val="23"/>
        </w:rPr>
      </w:pPr>
      <w:r w:rsidRPr="000A4484">
        <w:rPr>
          <w:sz w:val="23"/>
          <w:szCs w:val="23"/>
        </w:rPr>
        <w:t xml:space="preserve">if the case concerns allegations of </w:t>
      </w:r>
      <w:r w:rsidR="00AD38B4" w:rsidRPr="000A4484">
        <w:rPr>
          <w:sz w:val="23"/>
          <w:szCs w:val="23"/>
        </w:rPr>
        <w:t>an intentional act</w:t>
      </w:r>
      <w:r w:rsidR="005955A0" w:rsidRPr="000A4484">
        <w:rPr>
          <w:sz w:val="23"/>
          <w:szCs w:val="23"/>
        </w:rPr>
        <w:t>,</w:t>
      </w:r>
      <w:r w:rsidRPr="000A4484">
        <w:rPr>
          <w:sz w:val="23"/>
          <w:szCs w:val="23"/>
        </w:rPr>
        <w:t xml:space="preserve"> and in the alternative </w:t>
      </w:r>
      <w:r w:rsidR="00A33918" w:rsidRPr="000A4484">
        <w:rPr>
          <w:sz w:val="23"/>
          <w:szCs w:val="23"/>
        </w:rPr>
        <w:t>a mere negligent infliction of harm</w:t>
      </w:r>
      <w:r w:rsidRPr="000A4484">
        <w:rPr>
          <w:sz w:val="23"/>
          <w:szCs w:val="23"/>
        </w:rPr>
        <w:t xml:space="preserve">, </w:t>
      </w:r>
      <w:r w:rsidR="00E15AFD" w:rsidRPr="000A4484">
        <w:rPr>
          <w:sz w:val="23"/>
          <w:szCs w:val="23"/>
        </w:rPr>
        <w:t>a plaintiff will require a ‘significant injury’ for the claim in negligence</w:t>
      </w:r>
      <w:r w:rsidR="005F5D04" w:rsidRPr="000A4484">
        <w:rPr>
          <w:sz w:val="23"/>
          <w:szCs w:val="23"/>
        </w:rPr>
        <w:t>;</w:t>
      </w:r>
      <w:r w:rsidR="00F45651" w:rsidRPr="000A4484">
        <w:rPr>
          <w:rStyle w:val="FootnoteReference"/>
          <w:sz w:val="23"/>
          <w:szCs w:val="23"/>
        </w:rPr>
        <w:footnoteReference w:id="4"/>
      </w:r>
      <w:r w:rsidR="005F5D04" w:rsidRPr="000A4484">
        <w:rPr>
          <w:sz w:val="23"/>
          <w:szCs w:val="23"/>
        </w:rPr>
        <w:t xml:space="preserve"> </w:t>
      </w:r>
    </w:p>
    <w:p w14:paraId="2F6B05C8" w14:textId="78CBA14E" w:rsidR="00A563F2" w:rsidRPr="000A4484" w:rsidRDefault="00A77AEB" w:rsidP="00EF3B4D">
      <w:pPr>
        <w:pStyle w:val="ListParagraph"/>
        <w:numPr>
          <w:ilvl w:val="0"/>
          <w:numId w:val="1"/>
        </w:numPr>
        <w:spacing w:line="360" w:lineRule="auto"/>
        <w:ind w:left="567" w:hanging="567"/>
        <w:jc w:val="both"/>
        <w:rPr>
          <w:sz w:val="23"/>
          <w:szCs w:val="23"/>
        </w:rPr>
      </w:pPr>
      <w:r w:rsidRPr="000A4484">
        <w:rPr>
          <w:sz w:val="23"/>
          <w:szCs w:val="23"/>
        </w:rPr>
        <w:t xml:space="preserve">claims </w:t>
      </w:r>
      <w:r w:rsidR="007226A2" w:rsidRPr="000A4484">
        <w:rPr>
          <w:sz w:val="23"/>
          <w:szCs w:val="23"/>
        </w:rPr>
        <w:t>to which the exception to ‘significant injury</w:t>
      </w:r>
      <w:r w:rsidR="00EF7A9A">
        <w:rPr>
          <w:sz w:val="23"/>
          <w:szCs w:val="23"/>
        </w:rPr>
        <w:t>’</w:t>
      </w:r>
      <w:r w:rsidR="007226A2" w:rsidRPr="000A4484">
        <w:rPr>
          <w:sz w:val="23"/>
          <w:szCs w:val="23"/>
        </w:rPr>
        <w:t xml:space="preserve"> apply </w:t>
      </w:r>
      <w:r w:rsidRPr="000A4484">
        <w:rPr>
          <w:sz w:val="23"/>
          <w:szCs w:val="23"/>
        </w:rPr>
        <w:t>are not limited to intentional acts done with</w:t>
      </w:r>
      <w:r w:rsidR="00D62858" w:rsidRPr="000A4484">
        <w:rPr>
          <w:sz w:val="23"/>
          <w:szCs w:val="23"/>
        </w:rPr>
        <w:t xml:space="preserve"> intent to cause injury, such as is recognised by </w:t>
      </w:r>
      <w:r w:rsidR="00D62858" w:rsidRPr="000A4484">
        <w:rPr>
          <w:i/>
          <w:iCs/>
          <w:sz w:val="23"/>
          <w:szCs w:val="23"/>
        </w:rPr>
        <w:t>Wilkinson v Downton</w:t>
      </w:r>
      <w:r w:rsidR="00D62858" w:rsidRPr="000A4484">
        <w:rPr>
          <w:sz w:val="23"/>
          <w:szCs w:val="23"/>
        </w:rPr>
        <w:t>,</w:t>
      </w:r>
      <w:r w:rsidR="00F66D1A" w:rsidRPr="000A4484">
        <w:rPr>
          <w:rStyle w:val="FootnoteReference"/>
          <w:sz w:val="23"/>
          <w:szCs w:val="23"/>
        </w:rPr>
        <w:footnoteReference w:id="5"/>
      </w:r>
      <w:r w:rsidR="00D62858" w:rsidRPr="000A4484">
        <w:rPr>
          <w:sz w:val="23"/>
          <w:szCs w:val="23"/>
        </w:rPr>
        <w:t xml:space="preserve"> but extend to </w:t>
      </w:r>
      <w:r w:rsidR="00C12D22" w:rsidRPr="000A4484">
        <w:rPr>
          <w:sz w:val="23"/>
          <w:szCs w:val="23"/>
        </w:rPr>
        <w:t xml:space="preserve">alleged intention to cause </w:t>
      </w:r>
      <w:r w:rsidR="007226A2" w:rsidRPr="000A4484">
        <w:rPr>
          <w:sz w:val="23"/>
          <w:szCs w:val="23"/>
        </w:rPr>
        <w:t>injury</w:t>
      </w:r>
      <w:r w:rsidR="00C12D22" w:rsidRPr="000A4484">
        <w:rPr>
          <w:sz w:val="23"/>
          <w:szCs w:val="23"/>
        </w:rPr>
        <w:t xml:space="preserve"> </w:t>
      </w:r>
      <w:r w:rsidR="00D62858" w:rsidRPr="000A4484">
        <w:rPr>
          <w:sz w:val="23"/>
          <w:szCs w:val="23"/>
        </w:rPr>
        <w:t>claims</w:t>
      </w:r>
      <w:r w:rsidR="007226A2" w:rsidRPr="000A4484">
        <w:rPr>
          <w:sz w:val="23"/>
          <w:szCs w:val="23"/>
        </w:rPr>
        <w:t>,</w:t>
      </w:r>
      <w:r w:rsidR="00D62858" w:rsidRPr="000A4484">
        <w:rPr>
          <w:sz w:val="23"/>
          <w:szCs w:val="23"/>
        </w:rPr>
        <w:t xml:space="preserve"> such as battery, assault and false </w:t>
      </w:r>
      <w:r w:rsidR="00F66D1A" w:rsidRPr="000A4484">
        <w:rPr>
          <w:sz w:val="23"/>
          <w:szCs w:val="23"/>
        </w:rPr>
        <w:t>imprisonment</w:t>
      </w:r>
      <w:r w:rsidR="00D62858" w:rsidRPr="000A4484">
        <w:rPr>
          <w:sz w:val="23"/>
          <w:szCs w:val="23"/>
        </w:rPr>
        <w:t>;</w:t>
      </w:r>
      <w:r w:rsidR="006414E8" w:rsidRPr="000A4484">
        <w:rPr>
          <w:rStyle w:val="FootnoteReference"/>
          <w:sz w:val="23"/>
          <w:szCs w:val="23"/>
        </w:rPr>
        <w:footnoteReference w:id="6"/>
      </w:r>
      <w:r w:rsidR="00D62858" w:rsidRPr="000A4484">
        <w:rPr>
          <w:sz w:val="23"/>
          <w:szCs w:val="23"/>
        </w:rPr>
        <w:t xml:space="preserve"> </w:t>
      </w:r>
      <w:r w:rsidRPr="000A4484">
        <w:rPr>
          <w:sz w:val="23"/>
          <w:szCs w:val="23"/>
        </w:rPr>
        <w:t xml:space="preserve"> </w:t>
      </w:r>
      <w:r w:rsidR="00E15AFD" w:rsidRPr="000A4484">
        <w:rPr>
          <w:sz w:val="23"/>
          <w:szCs w:val="23"/>
        </w:rPr>
        <w:t xml:space="preserve"> </w:t>
      </w:r>
      <w:bookmarkStart w:id="0" w:name="_GoBack"/>
      <w:bookmarkEnd w:id="0"/>
    </w:p>
    <w:p w14:paraId="2E0466B2" w14:textId="041EA455" w:rsidR="00AC26BF" w:rsidRPr="000A4484" w:rsidRDefault="00AC26BF" w:rsidP="00EF3B4D">
      <w:pPr>
        <w:pStyle w:val="ListParagraph"/>
        <w:numPr>
          <w:ilvl w:val="0"/>
          <w:numId w:val="1"/>
        </w:numPr>
        <w:spacing w:line="360" w:lineRule="auto"/>
        <w:ind w:left="567" w:hanging="567"/>
        <w:jc w:val="both"/>
        <w:rPr>
          <w:sz w:val="23"/>
          <w:szCs w:val="23"/>
        </w:rPr>
      </w:pPr>
      <w:r w:rsidRPr="000A4484">
        <w:rPr>
          <w:sz w:val="23"/>
          <w:szCs w:val="23"/>
        </w:rPr>
        <w:t xml:space="preserve">the relevant Part VB exception for </w:t>
      </w:r>
      <w:r w:rsidR="00930860" w:rsidRPr="000A4484">
        <w:rPr>
          <w:sz w:val="23"/>
          <w:szCs w:val="23"/>
        </w:rPr>
        <w:t xml:space="preserve">intentional acts, </w:t>
      </w:r>
      <w:r w:rsidR="00013E8E" w:rsidRPr="000A4484">
        <w:rPr>
          <w:sz w:val="23"/>
          <w:szCs w:val="23"/>
        </w:rPr>
        <w:t>section 28C(2)(a)</w:t>
      </w:r>
      <w:r w:rsidR="00F64731" w:rsidRPr="000A4484">
        <w:rPr>
          <w:sz w:val="23"/>
          <w:szCs w:val="23"/>
        </w:rPr>
        <w:t>,</w:t>
      </w:r>
      <w:r w:rsidR="001D0D5D" w:rsidRPr="000A4484">
        <w:rPr>
          <w:sz w:val="23"/>
          <w:szCs w:val="23"/>
        </w:rPr>
        <w:t xml:space="preserve"> which restricts damages in personal injury claims pursuant to </w:t>
      </w:r>
      <w:r w:rsidR="00756B22">
        <w:rPr>
          <w:sz w:val="23"/>
          <w:szCs w:val="23"/>
        </w:rPr>
        <w:t>various of the</w:t>
      </w:r>
      <w:r w:rsidR="001D0D5D" w:rsidRPr="000A4484">
        <w:rPr>
          <w:sz w:val="23"/>
          <w:szCs w:val="23"/>
        </w:rPr>
        <w:t xml:space="preserve"> Ipp reforms,</w:t>
      </w:r>
      <w:r w:rsidR="00F64731" w:rsidRPr="000A4484">
        <w:rPr>
          <w:sz w:val="23"/>
          <w:szCs w:val="23"/>
        </w:rPr>
        <w:t xml:space="preserve"> </w:t>
      </w:r>
      <w:r w:rsidR="00E8086D" w:rsidRPr="000A4484">
        <w:rPr>
          <w:sz w:val="23"/>
          <w:szCs w:val="23"/>
        </w:rPr>
        <w:t xml:space="preserve">is narrower in its </w:t>
      </w:r>
      <w:r w:rsidR="005E42B9" w:rsidRPr="000A4484">
        <w:rPr>
          <w:sz w:val="23"/>
          <w:szCs w:val="23"/>
        </w:rPr>
        <w:t>application</w:t>
      </w:r>
      <w:r w:rsidR="00E8086D" w:rsidRPr="000A4484">
        <w:rPr>
          <w:sz w:val="23"/>
          <w:szCs w:val="23"/>
        </w:rPr>
        <w:t xml:space="preserve"> than </w:t>
      </w:r>
      <w:r w:rsidR="006D563C" w:rsidRPr="000A4484">
        <w:rPr>
          <w:sz w:val="23"/>
          <w:szCs w:val="23"/>
        </w:rPr>
        <w:t>Part VBA’s exception</w:t>
      </w:r>
      <w:r w:rsidR="00D43B84" w:rsidRPr="000A4484">
        <w:rPr>
          <w:sz w:val="23"/>
          <w:szCs w:val="23"/>
        </w:rPr>
        <w:t xml:space="preserve"> for </w:t>
      </w:r>
      <w:r w:rsidR="003B781F" w:rsidRPr="000A4484">
        <w:rPr>
          <w:sz w:val="23"/>
          <w:szCs w:val="23"/>
        </w:rPr>
        <w:t>intentional</w:t>
      </w:r>
      <w:r w:rsidR="00D43B84" w:rsidRPr="000A4484">
        <w:rPr>
          <w:sz w:val="23"/>
          <w:szCs w:val="23"/>
        </w:rPr>
        <w:t xml:space="preserve"> acts</w:t>
      </w:r>
      <w:r w:rsidR="006D563C" w:rsidRPr="000A4484">
        <w:rPr>
          <w:sz w:val="23"/>
          <w:szCs w:val="23"/>
        </w:rPr>
        <w:t xml:space="preserve">.  </w:t>
      </w:r>
      <w:r w:rsidR="00912A06" w:rsidRPr="000A4484">
        <w:rPr>
          <w:sz w:val="23"/>
          <w:szCs w:val="23"/>
        </w:rPr>
        <w:t>This is because section 28C(2)(a) does not include the words “or relates to” an intentional act.</w:t>
      </w:r>
      <w:r w:rsidR="009D712C" w:rsidRPr="000A4484">
        <w:rPr>
          <w:rStyle w:val="FootnoteReference"/>
          <w:sz w:val="23"/>
          <w:szCs w:val="23"/>
        </w:rPr>
        <w:footnoteReference w:id="7"/>
      </w:r>
      <w:r w:rsidR="00CB1069" w:rsidRPr="000A4484">
        <w:rPr>
          <w:sz w:val="23"/>
          <w:szCs w:val="23"/>
        </w:rPr>
        <w:t xml:space="preserve"> </w:t>
      </w:r>
      <w:r w:rsidR="00912A06" w:rsidRPr="000A4484">
        <w:rPr>
          <w:sz w:val="23"/>
          <w:szCs w:val="23"/>
        </w:rPr>
        <w:t xml:space="preserve"> </w:t>
      </w:r>
      <w:r w:rsidR="000C5156">
        <w:rPr>
          <w:sz w:val="23"/>
          <w:szCs w:val="23"/>
        </w:rPr>
        <w:t xml:space="preserve">It </w:t>
      </w:r>
      <w:r w:rsidR="00A657BD">
        <w:rPr>
          <w:sz w:val="23"/>
          <w:szCs w:val="23"/>
        </w:rPr>
        <w:t>therefore</w:t>
      </w:r>
      <w:r w:rsidR="000C5156">
        <w:rPr>
          <w:sz w:val="23"/>
          <w:szCs w:val="23"/>
        </w:rPr>
        <w:t xml:space="preserve"> appears a case like that against the State would not meet its definition.  </w:t>
      </w:r>
      <w:r w:rsidR="009358C0" w:rsidRPr="000A4484">
        <w:rPr>
          <w:sz w:val="23"/>
          <w:szCs w:val="23"/>
        </w:rPr>
        <w:t>However, even section</w:t>
      </w:r>
      <w:r w:rsidR="00536AFB" w:rsidRPr="000A4484">
        <w:rPr>
          <w:sz w:val="23"/>
          <w:szCs w:val="23"/>
        </w:rPr>
        <w:t xml:space="preserve"> 28C(2)(a)</w:t>
      </w:r>
      <w:r w:rsidR="00731B6E" w:rsidRPr="000A4484">
        <w:rPr>
          <w:sz w:val="23"/>
          <w:szCs w:val="23"/>
        </w:rPr>
        <w:t xml:space="preserve"> would appear to include</w:t>
      </w:r>
      <w:r w:rsidR="00CB1069" w:rsidRPr="000A4484">
        <w:rPr>
          <w:sz w:val="23"/>
          <w:szCs w:val="23"/>
        </w:rPr>
        <w:t xml:space="preserve"> </w:t>
      </w:r>
      <w:r w:rsidR="00A657BD">
        <w:rPr>
          <w:sz w:val="23"/>
          <w:szCs w:val="23"/>
        </w:rPr>
        <w:t xml:space="preserve">actions against the perpetrator of </w:t>
      </w:r>
      <w:r w:rsidR="00F16A4D">
        <w:rPr>
          <w:sz w:val="23"/>
          <w:szCs w:val="23"/>
        </w:rPr>
        <w:t xml:space="preserve">intentional acts of </w:t>
      </w:r>
      <w:r w:rsidR="00CB1069" w:rsidRPr="000A4484">
        <w:rPr>
          <w:sz w:val="23"/>
          <w:szCs w:val="23"/>
        </w:rPr>
        <w:t>battery, assault and false imprisonment and other such claims.</w:t>
      </w:r>
      <w:r w:rsidR="00EF29C3" w:rsidRPr="000A4484">
        <w:rPr>
          <w:rStyle w:val="FootnoteReference"/>
          <w:sz w:val="23"/>
          <w:szCs w:val="23"/>
        </w:rPr>
        <w:footnoteReference w:id="8"/>
      </w:r>
      <w:r w:rsidR="00CB1069" w:rsidRPr="000A4484">
        <w:rPr>
          <w:sz w:val="23"/>
          <w:szCs w:val="23"/>
        </w:rPr>
        <w:t xml:space="preserve"> </w:t>
      </w:r>
      <w:r w:rsidR="00731B6E" w:rsidRPr="000A4484">
        <w:rPr>
          <w:sz w:val="23"/>
          <w:szCs w:val="23"/>
        </w:rPr>
        <w:t xml:space="preserve"> </w:t>
      </w:r>
      <w:r w:rsidR="009358C0" w:rsidRPr="000A4484">
        <w:rPr>
          <w:sz w:val="23"/>
          <w:szCs w:val="23"/>
        </w:rPr>
        <w:t xml:space="preserve"> </w:t>
      </w:r>
    </w:p>
    <w:p w14:paraId="408AD97E" w14:textId="77777777" w:rsidR="00637757" w:rsidRDefault="00637757" w:rsidP="008931F4">
      <w:pPr>
        <w:spacing w:line="360" w:lineRule="auto"/>
        <w:jc w:val="both"/>
        <w:rPr>
          <w:b/>
          <w:bCs/>
          <w:sz w:val="23"/>
          <w:szCs w:val="23"/>
        </w:rPr>
      </w:pPr>
    </w:p>
    <w:p w14:paraId="70A6969D" w14:textId="04EE2EEC" w:rsidR="00F66D07" w:rsidRPr="000A4484" w:rsidRDefault="00C97A38" w:rsidP="008931F4">
      <w:pPr>
        <w:spacing w:line="360" w:lineRule="auto"/>
        <w:jc w:val="both"/>
        <w:rPr>
          <w:b/>
          <w:bCs/>
          <w:sz w:val="23"/>
          <w:szCs w:val="23"/>
        </w:rPr>
      </w:pPr>
      <w:r w:rsidRPr="000A4484">
        <w:rPr>
          <w:b/>
          <w:bCs/>
          <w:sz w:val="23"/>
          <w:szCs w:val="23"/>
        </w:rPr>
        <w:lastRenderedPageBreak/>
        <w:t>FUTURE CASES</w:t>
      </w:r>
    </w:p>
    <w:p w14:paraId="67D61103" w14:textId="6B31ED9F" w:rsidR="00C97A38" w:rsidRPr="000A4484" w:rsidRDefault="00C97A38" w:rsidP="008931F4">
      <w:pPr>
        <w:spacing w:line="360" w:lineRule="auto"/>
        <w:jc w:val="both"/>
        <w:rPr>
          <w:sz w:val="23"/>
          <w:szCs w:val="23"/>
        </w:rPr>
      </w:pPr>
      <w:r w:rsidRPr="000A4484">
        <w:rPr>
          <w:sz w:val="23"/>
          <w:szCs w:val="23"/>
        </w:rPr>
        <w:t>For all cases wh</w:t>
      </w:r>
      <w:r w:rsidR="00D16EDD" w:rsidRPr="000A4484">
        <w:rPr>
          <w:sz w:val="23"/>
          <w:szCs w:val="23"/>
        </w:rPr>
        <w:t>ich concern</w:t>
      </w:r>
      <w:r w:rsidR="00A01674" w:rsidRPr="000A4484">
        <w:rPr>
          <w:sz w:val="23"/>
          <w:szCs w:val="23"/>
        </w:rPr>
        <w:t xml:space="preserve"> or relate to </w:t>
      </w:r>
      <w:r w:rsidR="003C3DCB" w:rsidRPr="000A4484">
        <w:rPr>
          <w:sz w:val="23"/>
          <w:szCs w:val="23"/>
        </w:rPr>
        <w:t xml:space="preserve">an intentional act, including </w:t>
      </w:r>
      <w:r w:rsidR="008931F4" w:rsidRPr="000A4484">
        <w:rPr>
          <w:i/>
          <w:iCs/>
          <w:sz w:val="23"/>
          <w:szCs w:val="23"/>
        </w:rPr>
        <w:t>Wilkinson v Downton</w:t>
      </w:r>
      <w:r w:rsidR="008931F4" w:rsidRPr="000A4484">
        <w:rPr>
          <w:sz w:val="23"/>
          <w:szCs w:val="23"/>
        </w:rPr>
        <w:t xml:space="preserve"> claims, </w:t>
      </w:r>
      <w:r w:rsidR="00610EA7" w:rsidRPr="000A4484">
        <w:rPr>
          <w:sz w:val="23"/>
          <w:szCs w:val="23"/>
        </w:rPr>
        <w:t>and</w:t>
      </w:r>
      <w:r w:rsidR="00887470" w:rsidRPr="000A4484">
        <w:rPr>
          <w:sz w:val="23"/>
          <w:szCs w:val="23"/>
        </w:rPr>
        <w:t xml:space="preserve"> </w:t>
      </w:r>
      <w:r w:rsidR="00E14603" w:rsidRPr="000A4484">
        <w:rPr>
          <w:sz w:val="23"/>
          <w:szCs w:val="23"/>
        </w:rPr>
        <w:t xml:space="preserve">an </w:t>
      </w:r>
      <w:r w:rsidR="0083660C" w:rsidRPr="000A4484">
        <w:rPr>
          <w:sz w:val="23"/>
          <w:szCs w:val="23"/>
        </w:rPr>
        <w:t xml:space="preserve">assault, battery </w:t>
      </w:r>
      <w:r w:rsidR="008931F4" w:rsidRPr="000A4484">
        <w:rPr>
          <w:sz w:val="23"/>
          <w:szCs w:val="23"/>
        </w:rPr>
        <w:t>or</w:t>
      </w:r>
      <w:r w:rsidR="0083660C" w:rsidRPr="000A4484">
        <w:rPr>
          <w:sz w:val="23"/>
          <w:szCs w:val="23"/>
        </w:rPr>
        <w:t xml:space="preserve"> false imprisonment, </w:t>
      </w:r>
      <w:r w:rsidR="00A41FCD" w:rsidRPr="000A4484">
        <w:rPr>
          <w:sz w:val="23"/>
          <w:szCs w:val="23"/>
        </w:rPr>
        <w:t xml:space="preserve">whether or not the Plaintiff claims against </w:t>
      </w:r>
      <w:r w:rsidR="00FB0AF3" w:rsidRPr="000A4484">
        <w:rPr>
          <w:sz w:val="23"/>
          <w:szCs w:val="23"/>
        </w:rPr>
        <w:t>the perpetrator or some third party in negligence or breach of statutory duty</w:t>
      </w:r>
      <w:r w:rsidR="00397F27" w:rsidRPr="000A4484">
        <w:rPr>
          <w:sz w:val="23"/>
          <w:szCs w:val="23"/>
        </w:rPr>
        <w:t>, this case makes it plain that the Plaintiff does not require a ‘</w:t>
      </w:r>
      <w:r w:rsidR="00430233" w:rsidRPr="000A4484">
        <w:rPr>
          <w:sz w:val="23"/>
          <w:szCs w:val="23"/>
        </w:rPr>
        <w:t>significant</w:t>
      </w:r>
      <w:r w:rsidR="00397F27" w:rsidRPr="000A4484">
        <w:rPr>
          <w:sz w:val="23"/>
          <w:szCs w:val="23"/>
        </w:rPr>
        <w:t xml:space="preserve"> injury’ </w:t>
      </w:r>
      <w:r w:rsidR="00566118" w:rsidRPr="000A4484">
        <w:rPr>
          <w:sz w:val="23"/>
          <w:szCs w:val="23"/>
        </w:rPr>
        <w:t>to seek</w:t>
      </w:r>
      <w:r w:rsidR="00397F27" w:rsidRPr="000A4484">
        <w:rPr>
          <w:sz w:val="23"/>
          <w:szCs w:val="23"/>
        </w:rPr>
        <w:t xml:space="preserve"> damages for non-</w:t>
      </w:r>
      <w:r w:rsidR="00430233" w:rsidRPr="000A4484">
        <w:rPr>
          <w:sz w:val="23"/>
          <w:szCs w:val="23"/>
        </w:rPr>
        <w:t>economic</w:t>
      </w:r>
      <w:r w:rsidR="00397F27" w:rsidRPr="000A4484">
        <w:rPr>
          <w:sz w:val="23"/>
          <w:szCs w:val="23"/>
        </w:rPr>
        <w:t xml:space="preserve"> loss. </w:t>
      </w:r>
      <w:r w:rsidR="00D16EDD" w:rsidRPr="000A4484">
        <w:rPr>
          <w:sz w:val="23"/>
          <w:szCs w:val="23"/>
        </w:rPr>
        <w:t xml:space="preserve"> </w:t>
      </w:r>
    </w:p>
    <w:p w14:paraId="4B98A309" w14:textId="178B7D82" w:rsidR="00D16EDD" w:rsidRPr="000A4484" w:rsidRDefault="00B24714" w:rsidP="008931F4">
      <w:pPr>
        <w:spacing w:line="360" w:lineRule="auto"/>
        <w:jc w:val="both"/>
        <w:rPr>
          <w:sz w:val="23"/>
          <w:szCs w:val="23"/>
        </w:rPr>
      </w:pPr>
      <w:r w:rsidRPr="000A4484">
        <w:rPr>
          <w:sz w:val="23"/>
          <w:szCs w:val="23"/>
        </w:rPr>
        <w:t>On the other hand</w:t>
      </w:r>
      <w:r w:rsidR="00430233" w:rsidRPr="000A4484">
        <w:rPr>
          <w:sz w:val="23"/>
          <w:szCs w:val="23"/>
        </w:rPr>
        <w:t xml:space="preserve">, if the case involves allegations of both an intentional act but in the alternative </w:t>
      </w:r>
      <w:r w:rsidR="00F16381" w:rsidRPr="000A4484">
        <w:rPr>
          <w:sz w:val="23"/>
          <w:szCs w:val="23"/>
        </w:rPr>
        <w:t xml:space="preserve">a wrongful, but not intentional act, </w:t>
      </w:r>
      <w:r w:rsidR="00220F32" w:rsidRPr="000A4484">
        <w:rPr>
          <w:sz w:val="23"/>
          <w:szCs w:val="23"/>
        </w:rPr>
        <w:t xml:space="preserve">to </w:t>
      </w:r>
      <w:r w:rsidR="00EE1B22" w:rsidRPr="000A4484">
        <w:rPr>
          <w:sz w:val="23"/>
          <w:szCs w:val="23"/>
        </w:rPr>
        <w:t>seek</w:t>
      </w:r>
      <w:r w:rsidR="00220F32" w:rsidRPr="000A4484">
        <w:rPr>
          <w:sz w:val="23"/>
          <w:szCs w:val="23"/>
        </w:rPr>
        <w:t xml:space="preserve"> damages for non-economic loss, </w:t>
      </w:r>
      <w:r w:rsidR="00F16381" w:rsidRPr="000A4484">
        <w:rPr>
          <w:sz w:val="23"/>
          <w:szCs w:val="23"/>
        </w:rPr>
        <w:t xml:space="preserve">a Plaintiff will require a ‘significant injury’ for the alternative </w:t>
      </w:r>
      <w:r w:rsidR="005C3545" w:rsidRPr="000A4484">
        <w:rPr>
          <w:sz w:val="23"/>
          <w:szCs w:val="23"/>
        </w:rPr>
        <w:t xml:space="preserve">wrongful act or omission </w:t>
      </w:r>
      <w:r w:rsidR="00F16381" w:rsidRPr="000A4484">
        <w:rPr>
          <w:sz w:val="23"/>
          <w:szCs w:val="23"/>
        </w:rPr>
        <w:t xml:space="preserve">case. </w:t>
      </w:r>
    </w:p>
    <w:p w14:paraId="33D4FC04" w14:textId="77777777" w:rsidR="00D16EDD" w:rsidRPr="000A4484" w:rsidRDefault="00D16EDD" w:rsidP="00104153">
      <w:pPr>
        <w:jc w:val="both"/>
        <w:rPr>
          <w:sz w:val="23"/>
          <w:szCs w:val="23"/>
        </w:rPr>
      </w:pPr>
    </w:p>
    <w:p w14:paraId="2A027405" w14:textId="41ECFF9E" w:rsidR="005E18D1" w:rsidRPr="000A4484" w:rsidRDefault="006C36F7" w:rsidP="00104153">
      <w:pPr>
        <w:jc w:val="both"/>
        <w:rPr>
          <w:sz w:val="23"/>
          <w:szCs w:val="23"/>
        </w:rPr>
      </w:pPr>
      <w:r w:rsidRPr="000A4484">
        <w:rPr>
          <w:sz w:val="23"/>
          <w:szCs w:val="23"/>
        </w:rPr>
        <w:t xml:space="preserve">For further inquiries, please contact the author on (03) 9225 7042. </w:t>
      </w:r>
    </w:p>
    <w:p w14:paraId="3C173088" w14:textId="60ADACF8" w:rsidR="00F66D07" w:rsidRPr="000A4484" w:rsidRDefault="00F66D07" w:rsidP="00104153">
      <w:pPr>
        <w:jc w:val="both"/>
        <w:rPr>
          <w:sz w:val="23"/>
          <w:szCs w:val="23"/>
        </w:rPr>
      </w:pPr>
    </w:p>
    <w:p w14:paraId="01D17E97" w14:textId="5CF207D3" w:rsidR="00F66D07" w:rsidRPr="000A4484" w:rsidRDefault="00F66D07" w:rsidP="00104153">
      <w:pPr>
        <w:jc w:val="both"/>
        <w:rPr>
          <w:sz w:val="23"/>
          <w:szCs w:val="23"/>
        </w:rPr>
      </w:pPr>
    </w:p>
    <w:p w14:paraId="4C23007F" w14:textId="77777777" w:rsidR="00F66D07" w:rsidRPr="000A4484" w:rsidRDefault="00F66D07" w:rsidP="00104153">
      <w:pPr>
        <w:jc w:val="both"/>
        <w:rPr>
          <w:sz w:val="23"/>
          <w:szCs w:val="23"/>
        </w:rPr>
      </w:pPr>
    </w:p>
    <w:p w14:paraId="471F1897" w14:textId="2C311207" w:rsidR="005E18D1" w:rsidRPr="000A4484" w:rsidRDefault="005E18D1" w:rsidP="000A4484">
      <w:pPr>
        <w:spacing w:line="240" w:lineRule="auto"/>
        <w:jc w:val="right"/>
        <w:rPr>
          <w:b/>
          <w:bCs/>
          <w:sz w:val="23"/>
          <w:szCs w:val="23"/>
        </w:rPr>
      </w:pPr>
      <w:r w:rsidRPr="000A4484">
        <w:rPr>
          <w:b/>
          <w:bCs/>
          <w:sz w:val="23"/>
          <w:szCs w:val="23"/>
        </w:rPr>
        <w:t>P G HAMILTON</w:t>
      </w:r>
    </w:p>
    <w:p w14:paraId="718D5328" w14:textId="6EBFCC92" w:rsidR="005E18D1" w:rsidRPr="000A4484" w:rsidRDefault="005E18D1" w:rsidP="000A4484">
      <w:pPr>
        <w:spacing w:line="240" w:lineRule="auto"/>
        <w:jc w:val="right"/>
        <w:rPr>
          <w:sz w:val="23"/>
          <w:szCs w:val="23"/>
        </w:rPr>
      </w:pPr>
      <w:r w:rsidRPr="000A4484">
        <w:rPr>
          <w:sz w:val="23"/>
          <w:szCs w:val="23"/>
        </w:rPr>
        <w:t>OWEN DIXON CHAMBERS</w:t>
      </w:r>
    </w:p>
    <w:p w14:paraId="4F17FBF8" w14:textId="354A678C" w:rsidR="005E18D1" w:rsidRPr="000A4484" w:rsidRDefault="005E18D1" w:rsidP="000A4484">
      <w:pPr>
        <w:spacing w:line="240" w:lineRule="auto"/>
        <w:jc w:val="right"/>
        <w:rPr>
          <w:sz w:val="23"/>
          <w:szCs w:val="23"/>
        </w:rPr>
      </w:pPr>
      <w:r w:rsidRPr="000A4484">
        <w:rPr>
          <w:sz w:val="23"/>
          <w:szCs w:val="23"/>
        </w:rPr>
        <w:t>25 October 2019</w:t>
      </w:r>
    </w:p>
    <w:sectPr w:rsidR="005E18D1" w:rsidRPr="000A4484">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7428E1" w14:textId="77777777" w:rsidR="00AE3D91" w:rsidRDefault="00AE3D91" w:rsidP="00F45651">
      <w:pPr>
        <w:spacing w:after="0" w:line="240" w:lineRule="auto"/>
      </w:pPr>
      <w:r>
        <w:separator/>
      </w:r>
    </w:p>
  </w:endnote>
  <w:endnote w:type="continuationSeparator" w:id="0">
    <w:p w14:paraId="0694EAE3" w14:textId="77777777" w:rsidR="00AE3D91" w:rsidRDefault="00AE3D91" w:rsidP="00F45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5250175"/>
      <w:docPartObj>
        <w:docPartGallery w:val="Page Numbers (Bottom of Page)"/>
        <w:docPartUnique/>
      </w:docPartObj>
    </w:sdtPr>
    <w:sdtEndPr>
      <w:rPr>
        <w:noProof/>
      </w:rPr>
    </w:sdtEndPr>
    <w:sdtContent>
      <w:p w14:paraId="1BFD952D" w14:textId="32F1F0BD" w:rsidR="00F66D07" w:rsidRDefault="00F66D0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62181BE" w14:textId="77777777" w:rsidR="00F66D07" w:rsidRDefault="00F66D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45A87F" w14:textId="77777777" w:rsidR="00AE3D91" w:rsidRDefault="00AE3D91" w:rsidP="00F45651">
      <w:pPr>
        <w:spacing w:after="0" w:line="240" w:lineRule="auto"/>
      </w:pPr>
      <w:r>
        <w:separator/>
      </w:r>
    </w:p>
  </w:footnote>
  <w:footnote w:type="continuationSeparator" w:id="0">
    <w:p w14:paraId="7FC0BAAE" w14:textId="77777777" w:rsidR="00AE3D91" w:rsidRDefault="00AE3D91" w:rsidP="00F45651">
      <w:pPr>
        <w:spacing w:after="0" w:line="240" w:lineRule="auto"/>
      </w:pPr>
      <w:r>
        <w:continuationSeparator/>
      </w:r>
    </w:p>
  </w:footnote>
  <w:footnote w:id="1">
    <w:p w14:paraId="350C3BEF" w14:textId="1742E67C" w:rsidR="00D07072" w:rsidRDefault="00D07072" w:rsidP="00BA25E7">
      <w:pPr>
        <w:pStyle w:val="FootnoteText"/>
        <w:tabs>
          <w:tab w:val="left" w:pos="567"/>
        </w:tabs>
      </w:pPr>
      <w:r>
        <w:rPr>
          <w:rStyle w:val="FootnoteReference"/>
        </w:rPr>
        <w:footnoteRef/>
      </w:r>
      <w:r>
        <w:t xml:space="preserve"> </w:t>
      </w:r>
      <w:r>
        <w:tab/>
        <w:t xml:space="preserve">This decision arises from a fight on the pleadings about ‘significant injury’. </w:t>
      </w:r>
    </w:p>
  </w:footnote>
  <w:footnote w:id="2">
    <w:p w14:paraId="36EC7D12" w14:textId="52AE6877" w:rsidR="006B121F" w:rsidRDefault="006B121F" w:rsidP="006B121F">
      <w:pPr>
        <w:pStyle w:val="FootnoteText"/>
        <w:tabs>
          <w:tab w:val="left" w:pos="567"/>
        </w:tabs>
      </w:pPr>
      <w:r>
        <w:rPr>
          <w:rStyle w:val="FootnoteReference"/>
        </w:rPr>
        <w:footnoteRef/>
      </w:r>
      <w:r>
        <w:t xml:space="preserve"> </w:t>
      </w:r>
      <w:r>
        <w:tab/>
        <w:t xml:space="preserve">See paragraph 17 and footnote 5. </w:t>
      </w:r>
    </w:p>
  </w:footnote>
  <w:footnote w:id="3">
    <w:p w14:paraId="51630697" w14:textId="0B1FAEB8" w:rsidR="00A0647C" w:rsidRDefault="00A0647C" w:rsidP="00A0647C">
      <w:pPr>
        <w:pStyle w:val="FootnoteText"/>
        <w:ind w:left="567" w:hanging="567"/>
      </w:pPr>
      <w:r>
        <w:rPr>
          <w:rStyle w:val="FootnoteReference"/>
        </w:rPr>
        <w:footnoteRef/>
      </w:r>
      <w:r>
        <w:t xml:space="preserve"> </w:t>
      </w:r>
      <w:r>
        <w:tab/>
        <w:t>T</w:t>
      </w:r>
      <w:r w:rsidRPr="00A0647C">
        <w:t>hat, unless there is clear language in the statute, parliament is presumed not to take away common law rights</w:t>
      </w:r>
      <w:r>
        <w:t xml:space="preserve">. </w:t>
      </w:r>
    </w:p>
  </w:footnote>
  <w:footnote w:id="4">
    <w:p w14:paraId="4CE32BE2" w14:textId="0F6D0E3E" w:rsidR="00F45651" w:rsidRDefault="00F45651" w:rsidP="00736A6F">
      <w:pPr>
        <w:pStyle w:val="FootnoteText"/>
        <w:ind w:left="567" w:hanging="567"/>
      </w:pPr>
      <w:r>
        <w:rPr>
          <w:rStyle w:val="FootnoteReference"/>
        </w:rPr>
        <w:footnoteRef/>
      </w:r>
      <w:r>
        <w:t xml:space="preserve"> </w:t>
      </w:r>
      <w:r>
        <w:tab/>
        <w:t xml:space="preserve">Paragraph 35. </w:t>
      </w:r>
    </w:p>
  </w:footnote>
  <w:footnote w:id="5">
    <w:p w14:paraId="093FCC32" w14:textId="720F0A68" w:rsidR="00F66D1A" w:rsidRDefault="00F66D1A" w:rsidP="00736A6F">
      <w:pPr>
        <w:pStyle w:val="FootnoteText"/>
        <w:ind w:left="567" w:hanging="567"/>
      </w:pPr>
      <w:r>
        <w:rPr>
          <w:rStyle w:val="FootnoteReference"/>
        </w:rPr>
        <w:footnoteRef/>
      </w:r>
      <w:r>
        <w:t xml:space="preserve"> </w:t>
      </w:r>
      <w:r>
        <w:tab/>
        <w:t xml:space="preserve">[1897] 2 QB 57. </w:t>
      </w:r>
    </w:p>
  </w:footnote>
  <w:footnote w:id="6">
    <w:p w14:paraId="1A9660AE" w14:textId="50AC4872" w:rsidR="006414E8" w:rsidRDefault="006414E8" w:rsidP="00736A6F">
      <w:pPr>
        <w:pStyle w:val="FootnoteText"/>
        <w:ind w:left="567" w:hanging="567"/>
      </w:pPr>
      <w:r>
        <w:rPr>
          <w:rStyle w:val="FootnoteReference"/>
        </w:rPr>
        <w:footnoteRef/>
      </w:r>
      <w:r>
        <w:t xml:space="preserve"> </w:t>
      </w:r>
      <w:r>
        <w:tab/>
        <w:t xml:space="preserve">Paragraph </w:t>
      </w:r>
      <w:r w:rsidR="00190BD6">
        <w:t xml:space="preserve">39. </w:t>
      </w:r>
    </w:p>
  </w:footnote>
  <w:footnote w:id="7">
    <w:p w14:paraId="6144552F" w14:textId="5B2D1682" w:rsidR="009D712C" w:rsidRDefault="009D712C" w:rsidP="00736A6F">
      <w:pPr>
        <w:pStyle w:val="FootnoteText"/>
        <w:ind w:left="567" w:hanging="567"/>
      </w:pPr>
      <w:r>
        <w:rPr>
          <w:rStyle w:val="FootnoteReference"/>
        </w:rPr>
        <w:footnoteRef/>
      </w:r>
      <w:r>
        <w:t xml:space="preserve"> </w:t>
      </w:r>
      <w:r>
        <w:tab/>
        <w:t xml:space="preserve">Paragraph 31. </w:t>
      </w:r>
    </w:p>
  </w:footnote>
  <w:footnote w:id="8">
    <w:p w14:paraId="4A7BD5D5" w14:textId="417D71DF" w:rsidR="00EF29C3" w:rsidRDefault="00EF29C3" w:rsidP="00736A6F">
      <w:pPr>
        <w:pStyle w:val="FootnoteText"/>
        <w:ind w:left="567" w:hanging="567"/>
      </w:pPr>
      <w:r>
        <w:rPr>
          <w:rStyle w:val="FootnoteReference"/>
        </w:rPr>
        <w:footnoteRef/>
      </w:r>
      <w:r>
        <w:t xml:space="preserve"> </w:t>
      </w:r>
      <w:r>
        <w:tab/>
        <w:t xml:space="preserve">Paragraph 39.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F60C6C"/>
    <w:multiLevelType w:val="hybridMultilevel"/>
    <w:tmpl w:val="61DC8C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F88"/>
    <w:rsid w:val="00013D05"/>
    <w:rsid w:val="00013E8E"/>
    <w:rsid w:val="00036168"/>
    <w:rsid w:val="00037804"/>
    <w:rsid w:val="00083739"/>
    <w:rsid w:val="000A4484"/>
    <w:rsid w:val="000C5156"/>
    <w:rsid w:val="000D05D8"/>
    <w:rsid w:val="000E7CF0"/>
    <w:rsid w:val="000F1482"/>
    <w:rsid w:val="00104153"/>
    <w:rsid w:val="00187A2C"/>
    <w:rsid w:val="00190BD6"/>
    <w:rsid w:val="001D0D5D"/>
    <w:rsid w:val="001F7AFB"/>
    <w:rsid w:val="00204DA1"/>
    <w:rsid w:val="00204DF7"/>
    <w:rsid w:val="00216F0E"/>
    <w:rsid w:val="00220F32"/>
    <w:rsid w:val="00226C5B"/>
    <w:rsid w:val="00233423"/>
    <w:rsid w:val="00235E0F"/>
    <w:rsid w:val="002A247A"/>
    <w:rsid w:val="002A4D4D"/>
    <w:rsid w:val="002E58A3"/>
    <w:rsid w:val="0030024E"/>
    <w:rsid w:val="00337F88"/>
    <w:rsid w:val="0035350E"/>
    <w:rsid w:val="00372FD2"/>
    <w:rsid w:val="0038129D"/>
    <w:rsid w:val="00397F27"/>
    <w:rsid w:val="003B781F"/>
    <w:rsid w:val="003C3DCB"/>
    <w:rsid w:val="003E7602"/>
    <w:rsid w:val="0042326F"/>
    <w:rsid w:val="00430233"/>
    <w:rsid w:val="004D1211"/>
    <w:rsid w:val="00505FE3"/>
    <w:rsid w:val="005176C7"/>
    <w:rsid w:val="00536AFB"/>
    <w:rsid w:val="00566118"/>
    <w:rsid w:val="005955A0"/>
    <w:rsid w:val="005A751E"/>
    <w:rsid w:val="005C3545"/>
    <w:rsid w:val="005E18D1"/>
    <w:rsid w:val="005E42B9"/>
    <w:rsid w:val="005F5D04"/>
    <w:rsid w:val="00610EA7"/>
    <w:rsid w:val="006136BE"/>
    <w:rsid w:val="00637757"/>
    <w:rsid w:val="006414E8"/>
    <w:rsid w:val="006615E9"/>
    <w:rsid w:val="00693763"/>
    <w:rsid w:val="006B121F"/>
    <w:rsid w:val="006C36F7"/>
    <w:rsid w:val="006D45C0"/>
    <w:rsid w:val="006D563C"/>
    <w:rsid w:val="00702949"/>
    <w:rsid w:val="00714793"/>
    <w:rsid w:val="007226A2"/>
    <w:rsid w:val="00731B6E"/>
    <w:rsid w:val="00736A6F"/>
    <w:rsid w:val="00756B22"/>
    <w:rsid w:val="00781823"/>
    <w:rsid w:val="0079277E"/>
    <w:rsid w:val="007B28E2"/>
    <w:rsid w:val="007D2A96"/>
    <w:rsid w:val="007D2C45"/>
    <w:rsid w:val="00811796"/>
    <w:rsid w:val="00816599"/>
    <w:rsid w:val="008249B1"/>
    <w:rsid w:val="00834A9E"/>
    <w:rsid w:val="0083660C"/>
    <w:rsid w:val="00887470"/>
    <w:rsid w:val="008931F4"/>
    <w:rsid w:val="008A3920"/>
    <w:rsid w:val="008F5B31"/>
    <w:rsid w:val="00912A06"/>
    <w:rsid w:val="00930860"/>
    <w:rsid w:val="009358C0"/>
    <w:rsid w:val="009D712C"/>
    <w:rsid w:val="00A01674"/>
    <w:rsid w:val="00A0647C"/>
    <w:rsid w:val="00A33918"/>
    <w:rsid w:val="00A40F01"/>
    <w:rsid w:val="00A41FCD"/>
    <w:rsid w:val="00A563F2"/>
    <w:rsid w:val="00A657BD"/>
    <w:rsid w:val="00A77AEB"/>
    <w:rsid w:val="00A83C30"/>
    <w:rsid w:val="00AC2174"/>
    <w:rsid w:val="00AC26BF"/>
    <w:rsid w:val="00AD38B4"/>
    <w:rsid w:val="00AE3D91"/>
    <w:rsid w:val="00B24714"/>
    <w:rsid w:val="00B35028"/>
    <w:rsid w:val="00B94038"/>
    <w:rsid w:val="00BA25E7"/>
    <w:rsid w:val="00BC45E1"/>
    <w:rsid w:val="00BC478B"/>
    <w:rsid w:val="00BE6439"/>
    <w:rsid w:val="00C12D22"/>
    <w:rsid w:val="00C16D2E"/>
    <w:rsid w:val="00C261E7"/>
    <w:rsid w:val="00C4776B"/>
    <w:rsid w:val="00C80DEB"/>
    <w:rsid w:val="00C8605F"/>
    <w:rsid w:val="00C925A9"/>
    <w:rsid w:val="00C94921"/>
    <w:rsid w:val="00C97A38"/>
    <w:rsid w:val="00CB1069"/>
    <w:rsid w:val="00CB33DE"/>
    <w:rsid w:val="00D07072"/>
    <w:rsid w:val="00D16EDD"/>
    <w:rsid w:val="00D43B84"/>
    <w:rsid w:val="00D62858"/>
    <w:rsid w:val="00D90DF0"/>
    <w:rsid w:val="00DC0807"/>
    <w:rsid w:val="00DC34B1"/>
    <w:rsid w:val="00E14603"/>
    <w:rsid w:val="00E15AFD"/>
    <w:rsid w:val="00E20C1F"/>
    <w:rsid w:val="00E8086D"/>
    <w:rsid w:val="00E8360B"/>
    <w:rsid w:val="00E87910"/>
    <w:rsid w:val="00E90472"/>
    <w:rsid w:val="00E97565"/>
    <w:rsid w:val="00EE1B22"/>
    <w:rsid w:val="00EF29C3"/>
    <w:rsid w:val="00EF3B4D"/>
    <w:rsid w:val="00EF7A9A"/>
    <w:rsid w:val="00F16381"/>
    <w:rsid w:val="00F16A4D"/>
    <w:rsid w:val="00F45651"/>
    <w:rsid w:val="00F56364"/>
    <w:rsid w:val="00F622DD"/>
    <w:rsid w:val="00F64731"/>
    <w:rsid w:val="00F66D07"/>
    <w:rsid w:val="00F66D1A"/>
    <w:rsid w:val="00FA69BE"/>
    <w:rsid w:val="00FB0AF3"/>
    <w:rsid w:val="00FB10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E5DCB"/>
  <w15:chartTrackingRefBased/>
  <w15:docId w15:val="{F7334928-CB34-46F6-AD20-A644C60C1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man Old Style" w:eastAsiaTheme="minorHAnsi" w:hAnsi="Bookman Old Style" w:cstheme="minorBidi"/>
        <w:sz w:val="24"/>
        <w:szCs w:val="24"/>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E0F"/>
    <w:pPr>
      <w:ind w:left="720"/>
      <w:contextualSpacing/>
    </w:pPr>
  </w:style>
  <w:style w:type="paragraph" w:styleId="FootnoteText">
    <w:name w:val="footnote text"/>
    <w:basedOn w:val="Normal"/>
    <w:link w:val="FootnoteTextChar"/>
    <w:uiPriority w:val="99"/>
    <w:semiHidden/>
    <w:unhideWhenUsed/>
    <w:rsid w:val="00F45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45651"/>
    <w:rPr>
      <w:sz w:val="20"/>
      <w:szCs w:val="20"/>
    </w:rPr>
  </w:style>
  <w:style w:type="character" w:styleId="FootnoteReference">
    <w:name w:val="footnote reference"/>
    <w:basedOn w:val="DefaultParagraphFont"/>
    <w:uiPriority w:val="99"/>
    <w:semiHidden/>
    <w:unhideWhenUsed/>
    <w:rsid w:val="00F45651"/>
    <w:rPr>
      <w:vertAlign w:val="superscript"/>
    </w:rPr>
  </w:style>
  <w:style w:type="paragraph" w:styleId="Header">
    <w:name w:val="header"/>
    <w:basedOn w:val="Normal"/>
    <w:link w:val="HeaderChar"/>
    <w:uiPriority w:val="99"/>
    <w:unhideWhenUsed/>
    <w:rsid w:val="00F66D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6D07"/>
  </w:style>
  <w:style w:type="paragraph" w:styleId="Footer">
    <w:name w:val="footer"/>
    <w:basedOn w:val="Normal"/>
    <w:link w:val="FooterChar"/>
    <w:uiPriority w:val="99"/>
    <w:unhideWhenUsed/>
    <w:rsid w:val="00F66D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6D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0498407">
      <w:bodyDiv w:val="1"/>
      <w:marLeft w:val="0"/>
      <w:marRight w:val="0"/>
      <w:marTop w:val="0"/>
      <w:marBottom w:val="0"/>
      <w:divBdr>
        <w:top w:val="none" w:sz="0" w:space="0" w:color="auto"/>
        <w:left w:val="none" w:sz="0" w:space="0" w:color="auto"/>
        <w:bottom w:val="none" w:sz="0" w:space="0" w:color="auto"/>
        <w:right w:val="none" w:sz="0" w:space="0" w:color="auto"/>
      </w:divBdr>
      <w:divsChild>
        <w:div w:id="797913236">
          <w:marLeft w:val="0"/>
          <w:marRight w:val="0"/>
          <w:marTop w:val="0"/>
          <w:marBottom w:val="0"/>
          <w:divBdr>
            <w:top w:val="none" w:sz="0" w:space="0" w:color="auto"/>
            <w:left w:val="none" w:sz="0" w:space="0" w:color="auto"/>
            <w:bottom w:val="none" w:sz="0" w:space="0" w:color="auto"/>
            <w:right w:val="none" w:sz="0" w:space="0" w:color="auto"/>
          </w:divBdr>
          <w:divsChild>
            <w:div w:id="1250381647">
              <w:marLeft w:val="0"/>
              <w:marRight w:val="0"/>
              <w:marTop w:val="0"/>
              <w:marBottom w:val="0"/>
              <w:divBdr>
                <w:top w:val="none" w:sz="0" w:space="0" w:color="auto"/>
                <w:left w:val="none" w:sz="0" w:space="0" w:color="auto"/>
                <w:bottom w:val="none" w:sz="0" w:space="0" w:color="auto"/>
                <w:right w:val="none" w:sz="0" w:space="0" w:color="auto"/>
              </w:divBdr>
              <w:divsChild>
                <w:div w:id="4988885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18980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47581B-7853-4CB4-B4ED-71BFB04FD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Pages>
  <Words>612</Words>
  <Characters>3491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Hamilton</dc:creator>
  <cp:keywords/>
  <dc:description/>
  <cp:lastModifiedBy>Peter Hamilton</cp:lastModifiedBy>
  <cp:revision>153</cp:revision>
  <cp:lastPrinted>2019-10-25T05:18:00Z</cp:lastPrinted>
  <dcterms:created xsi:type="dcterms:W3CDTF">2019-10-25T03:58:00Z</dcterms:created>
  <dcterms:modified xsi:type="dcterms:W3CDTF">2019-10-30T03:05:00Z</dcterms:modified>
</cp:coreProperties>
</file>