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24EA" w14:textId="3F44D1F0" w:rsidR="002F0317" w:rsidRPr="00A90FA1" w:rsidRDefault="002F0317" w:rsidP="002F0317">
      <w:pPr>
        <w:jc w:val="center"/>
        <w:rPr>
          <w:rFonts w:ascii="Bookman Old Style" w:eastAsia="Times New Roman" w:hAnsi="Bookman Old Style"/>
          <w:b/>
          <w:bCs/>
          <w:sz w:val="24"/>
          <w:szCs w:val="24"/>
        </w:rPr>
      </w:pPr>
      <w:r w:rsidRPr="00A90FA1">
        <w:rPr>
          <w:rFonts w:ascii="Bookman Old Style" w:eastAsia="Times New Roman" w:hAnsi="Bookman Old Style"/>
          <w:b/>
          <w:bCs/>
          <w:sz w:val="24"/>
          <w:szCs w:val="24"/>
        </w:rPr>
        <w:t xml:space="preserve">Gideon Haigh’s Brilliant Boy and nervous shock </w:t>
      </w:r>
      <w:r w:rsidR="002830A0" w:rsidRPr="00A90FA1">
        <w:rPr>
          <w:rFonts w:ascii="Bookman Old Style" w:eastAsia="Times New Roman" w:hAnsi="Bookman Old Style"/>
          <w:b/>
          <w:bCs/>
          <w:sz w:val="24"/>
          <w:szCs w:val="24"/>
        </w:rPr>
        <w:t xml:space="preserve">claims </w:t>
      </w:r>
      <w:r w:rsidRPr="00A90FA1">
        <w:rPr>
          <w:rFonts w:ascii="Bookman Old Style" w:eastAsia="Times New Roman" w:hAnsi="Bookman Old Style"/>
          <w:b/>
          <w:bCs/>
          <w:sz w:val="24"/>
          <w:szCs w:val="24"/>
        </w:rPr>
        <w:t>- have the shackles come off?</w:t>
      </w:r>
      <w:r w:rsidR="00FB135A" w:rsidRPr="00A90FA1">
        <w:rPr>
          <w:rStyle w:val="FootnoteReference"/>
          <w:rFonts w:ascii="Bookman Old Style" w:eastAsia="Times New Roman" w:hAnsi="Bookman Old Style"/>
          <w:b/>
          <w:bCs/>
          <w:sz w:val="24"/>
          <w:szCs w:val="24"/>
        </w:rPr>
        <w:footnoteReference w:id="1"/>
      </w:r>
    </w:p>
    <w:p w14:paraId="0ED5FAE2" w14:textId="77777777" w:rsidR="002F0317" w:rsidRPr="00A90FA1" w:rsidRDefault="002F0317" w:rsidP="002F0317">
      <w:pPr>
        <w:rPr>
          <w:rFonts w:ascii="Bookman Old Style" w:eastAsia="Times New Roman" w:hAnsi="Bookman Old Style"/>
          <w:sz w:val="24"/>
          <w:szCs w:val="24"/>
        </w:rPr>
      </w:pPr>
    </w:p>
    <w:p w14:paraId="42065A5C" w14:textId="77777777" w:rsidR="002F0317" w:rsidRPr="00A90FA1" w:rsidRDefault="002F0317" w:rsidP="002F0317">
      <w:pPr>
        <w:rPr>
          <w:rFonts w:ascii="Bookman Old Style" w:eastAsia="Times New Roman" w:hAnsi="Bookman Old Style"/>
          <w:sz w:val="24"/>
          <w:szCs w:val="24"/>
        </w:rPr>
      </w:pPr>
    </w:p>
    <w:p w14:paraId="08C56659" w14:textId="77777777" w:rsidR="002F0317" w:rsidRPr="00A90FA1" w:rsidRDefault="002F0317" w:rsidP="002F0317">
      <w:pPr>
        <w:jc w:val="both"/>
        <w:rPr>
          <w:rFonts w:ascii="Bookman Old Style" w:eastAsia="Times New Roman" w:hAnsi="Bookman Old Style"/>
          <w:sz w:val="24"/>
          <w:szCs w:val="24"/>
        </w:rPr>
      </w:pPr>
    </w:p>
    <w:p w14:paraId="17F41F87" w14:textId="3D52AAA8"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Gideon’s book, </w:t>
      </w:r>
      <w:r w:rsidR="002757DE" w:rsidRPr="00A90FA1">
        <w:rPr>
          <w:rFonts w:ascii="Bookman Old Style" w:eastAsia="Times New Roman" w:hAnsi="Bookman Old Style"/>
          <w:sz w:val="24"/>
          <w:szCs w:val="24"/>
        </w:rPr>
        <w:t>The</w:t>
      </w:r>
      <w:r w:rsidRPr="00A90FA1">
        <w:rPr>
          <w:rFonts w:ascii="Bookman Old Style" w:eastAsia="Times New Roman" w:hAnsi="Bookman Old Style"/>
          <w:sz w:val="24"/>
          <w:szCs w:val="24"/>
        </w:rPr>
        <w:t xml:space="preserve"> Brilliant Boy, </w:t>
      </w:r>
      <w:r w:rsidR="00345FDB" w:rsidRPr="00A90FA1">
        <w:rPr>
          <w:rFonts w:ascii="Bookman Old Style" w:eastAsia="Times New Roman" w:hAnsi="Bookman Old Style"/>
          <w:sz w:val="24"/>
          <w:szCs w:val="24"/>
        </w:rPr>
        <w:t>records</w:t>
      </w:r>
      <w:r w:rsidRPr="00A90FA1">
        <w:rPr>
          <w:rFonts w:ascii="Bookman Old Style" w:eastAsia="Times New Roman" w:hAnsi="Bookman Old Style"/>
          <w:sz w:val="24"/>
          <w:szCs w:val="24"/>
        </w:rPr>
        <w:t xml:space="preserve"> important </w:t>
      </w:r>
      <w:r w:rsidR="00375F7B" w:rsidRPr="00A90FA1">
        <w:rPr>
          <w:rFonts w:ascii="Bookman Old Style" w:eastAsia="Times New Roman" w:hAnsi="Bookman Old Style"/>
          <w:sz w:val="24"/>
          <w:szCs w:val="24"/>
        </w:rPr>
        <w:t xml:space="preserve">legal </w:t>
      </w:r>
      <w:r w:rsidRPr="00A90FA1">
        <w:rPr>
          <w:rFonts w:ascii="Bookman Old Style" w:eastAsia="Times New Roman" w:hAnsi="Bookman Old Style"/>
          <w:sz w:val="24"/>
          <w:szCs w:val="24"/>
        </w:rPr>
        <w:t>history that has perhaps taken the younger members of t</w:t>
      </w:r>
      <w:r w:rsidR="00375F7B" w:rsidRPr="00A90FA1">
        <w:rPr>
          <w:rFonts w:ascii="Bookman Old Style" w:eastAsia="Times New Roman" w:hAnsi="Bookman Old Style"/>
          <w:sz w:val="24"/>
          <w:szCs w:val="24"/>
        </w:rPr>
        <w:t>his audience</w:t>
      </w:r>
      <w:r w:rsidRPr="00A90FA1">
        <w:rPr>
          <w:rFonts w:ascii="Bookman Old Style" w:eastAsia="Times New Roman" w:hAnsi="Bookman Old Style"/>
          <w:sz w:val="24"/>
          <w:szCs w:val="24"/>
        </w:rPr>
        <w:t xml:space="preserve"> </w:t>
      </w:r>
      <w:r w:rsidR="00375F7B" w:rsidRPr="00A90FA1">
        <w:rPr>
          <w:rFonts w:ascii="Bookman Old Style" w:eastAsia="Times New Roman" w:hAnsi="Bookman Old Style"/>
          <w:sz w:val="24"/>
          <w:szCs w:val="24"/>
        </w:rPr>
        <w:t xml:space="preserve">by surprise </w:t>
      </w:r>
      <w:r w:rsidRPr="00A90FA1">
        <w:rPr>
          <w:rFonts w:ascii="Bookman Old Style" w:eastAsia="Times New Roman" w:hAnsi="Bookman Old Style"/>
          <w:sz w:val="24"/>
          <w:szCs w:val="24"/>
        </w:rPr>
        <w:t>(I still count myself in that</w:t>
      </w:r>
      <w:r w:rsidR="00345FDB" w:rsidRPr="00A90FA1">
        <w:rPr>
          <w:rFonts w:ascii="Bookman Old Style" w:eastAsia="Times New Roman" w:hAnsi="Bookman Old Style"/>
          <w:sz w:val="24"/>
          <w:szCs w:val="24"/>
        </w:rPr>
        <w:t xml:space="preserve"> bracket, if only just</w:t>
      </w:r>
      <w:r w:rsidRPr="00A90FA1">
        <w:rPr>
          <w:rFonts w:ascii="Bookman Old Style" w:eastAsia="Times New Roman" w:hAnsi="Bookman Old Style"/>
          <w:sz w:val="24"/>
          <w:szCs w:val="24"/>
        </w:rPr>
        <w:t xml:space="preserve">). </w:t>
      </w:r>
      <w:r w:rsidR="00345FDB" w:rsidRPr="00A90FA1">
        <w:rPr>
          <w:rFonts w:ascii="Bookman Old Style" w:eastAsia="Times New Roman" w:hAnsi="Bookman Old Style"/>
          <w:sz w:val="24"/>
          <w:szCs w:val="24"/>
        </w:rPr>
        <w:t xml:space="preserve"> </w:t>
      </w:r>
      <w:r w:rsidRPr="00A90FA1">
        <w:rPr>
          <w:rFonts w:ascii="Bookman Old Style" w:eastAsia="Times New Roman" w:hAnsi="Bookman Old Style"/>
          <w:sz w:val="24"/>
          <w:szCs w:val="24"/>
        </w:rPr>
        <w:t xml:space="preserve">We thank </w:t>
      </w:r>
      <w:r w:rsidR="000B380E" w:rsidRPr="00A90FA1">
        <w:rPr>
          <w:rFonts w:ascii="Bookman Old Style" w:eastAsia="Times New Roman" w:hAnsi="Bookman Old Style"/>
          <w:sz w:val="24"/>
          <w:szCs w:val="24"/>
        </w:rPr>
        <w:t>Gideon</w:t>
      </w:r>
      <w:r w:rsidRPr="00A90FA1">
        <w:rPr>
          <w:rFonts w:ascii="Bookman Old Style" w:eastAsia="Times New Roman" w:hAnsi="Bookman Old Style"/>
          <w:sz w:val="24"/>
          <w:szCs w:val="24"/>
        </w:rPr>
        <w:t xml:space="preserve"> for exploring the tortured history of nervous shock claims in Australia. </w:t>
      </w:r>
    </w:p>
    <w:p w14:paraId="0B6A448E" w14:textId="77777777" w:rsidR="002F0317" w:rsidRPr="00A90FA1" w:rsidRDefault="002F0317" w:rsidP="002F0317">
      <w:pPr>
        <w:jc w:val="both"/>
        <w:rPr>
          <w:rFonts w:ascii="Bookman Old Style" w:eastAsia="Times New Roman" w:hAnsi="Bookman Old Style"/>
          <w:sz w:val="24"/>
          <w:szCs w:val="24"/>
        </w:rPr>
      </w:pPr>
    </w:p>
    <w:p w14:paraId="06D4AC25" w14:textId="77777777" w:rsidR="002F0317" w:rsidRPr="00A90FA1" w:rsidRDefault="002F0317" w:rsidP="002F0317">
      <w:pPr>
        <w:jc w:val="both"/>
        <w:rPr>
          <w:rFonts w:ascii="Bookman Old Style" w:eastAsia="Times New Roman" w:hAnsi="Bookman Old Style"/>
          <w:sz w:val="24"/>
          <w:szCs w:val="24"/>
        </w:rPr>
      </w:pPr>
    </w:p>
    <w:p w14:paraId="27DCAF88" w14:textId="294ED532"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What else does </w:t>
      </w:r>
      <w:r w:rsidR="00E94726" w:rsidRPr="00A90FA1">
        <w:rPr>
          <w:rFonts w:ascii="Bookman Old Style" w:eastAsia="Times New Roman" w:hAnsi="Bookman Old Style"/>
          <w:sz w:val="24"/>
          <w:szCs w:val="24"/>
        </w:rPr>
        <w:t>this brilliant book</w:t>
      </w:r>
      <w:r w:rsidRPr="00A90FA1">
        <w:rPr>
          <w:rFonts w:ascii="Bookman Old Style" w:eastAsia="Times New Roman" w:hAnsi="Bookman Old Style"/>
          <w:sz w:val="24"/>
          <w:szCs w:val="24"/>
        </w:rPr>
        <w:t xml:space="preserve"> shine a light on? To my mind, it shines a light on something equally as important to all of us here - the role that activist solicitors, courageous counsel and dissentient judges have in our community to advance, from time to time, the common law and to promote, if that’s the right word, the law of tort, too often derided.</w:t>
      </w:r>
      <w:r w:rsidR="000A10E1" w:rsidRPr="00A90FA1">
        <w:rPr>
          <w:rFonts w:ascii="Bookman Old Style" w:eastAsia="Times New Roman" w:hAnsi="Bookman Old Style"/>
          <w:sz w:val="24"/>
          <w:szCs w:val="24"/>
        </w:rPr>
        <w:t xml:space="preserve">  </w:t>
      </w:r>
      <w:r w:rsidRPr="00A90FA1">
        <w:rPr>
          <w:rFonts w:ascii="Bookman Old Style" w:eastAsia="Times New Roman" w:hAnsi="Bookman Old Style"/>
          <w:sz w:val="24"/>
          <w:szCs w:val="24"/>
        </w:rPr>
        <w:t xml:space="preserve"> </w:t>
      </w:r>
    </w:p>
    <w:p w14:paraId="5846AEB3" w14:textId="77777777" w:rsidR="002F0317" w:rsidRPr="00A90FA1" w:rsidRDefault="002F0317" w:rsidP="002F0317">
      <w:pPr>
        <w:jc w:val="both"/>
        <w:rPr>
          <w:rFonts w:ascii="Bookman Old Style" w:eastAsia="Times New Roman" w:hAnsi="Bookman Old Style"/>
          <w:sz w:val="24"/>
          <w:szCs w:val="24"/>
        </w:rPr>
      </w:pPr>
    </w:p>
    <w:p w14:paraId="7E5846B0" w14:textId="33F5D483" w:rsidR="00907562" w:rsidRPr="00A90FA1" w:rsidRDefault="00907562" w:rsidP="00907562">
      <w:pPr>
        <w:jc w:val="both"/>
        <w:rPr>
          <w:rFonts w:ascii="Bookman Old Style" w:eastAsia="Times New Roman" w:hAnsi="Bookman Old Style"/>
          <w:sz w:val="24"/>
          <w:szCs w:val="24"/>
        </w:rPr>
      </w:pPr>
      <w:r w:rsidRPr="00A90FA1">
        <w:rPr>
          <w:rFonts w:ascii="Bookman Old Style" w:eastAsia="Times New Roman" w:hAnsi="Bookman Old Style"/>
          <w:sz w:val="24"/>
          <w:szCs w:val="24"/>
        </w:rPr>
        <w:t>Justice Evatt certainly met derision, when it came to his role in expanding the common law in nervous shock cases. His brother</w:t>
      </w:r>
      <w:r w:rsidR="00AF4C41" w:rsidRPr="00A90FA1">
        <w:rPr>
          <w:rFonts w:ascii="Bookman Old Style" w:eastAsia="Times New Roman" w:hAnsi="Bookman Old Style"/>
          <w:sz w:val="24"/>
          <w:szCs w:val="24"/>
        </w:rPr>
        <w:t>, a barrister</w:t>
      </w:r>
      <w:r w:rsidRPr="00A90FA1">
        <w:rPr>
          <w:rFonts w:ascii="Bookman Old Style" w:eastAsia="Times New Roman" w:hAnsi="Bookman Old Style"/>
          <w:sz w:val="24"/>
          <w:szCs w:val="24"/>
        </w:rPr>
        <w:t xml:space="preserve"> and brother’s instructing solicitor</w:t>
      </w:r>
      <w:r w:rsidR="00AF4C41" w:rsidRPr="00A90FA1">
        <w:rPr>
          <w:rFonts w:ascii="Bookman Old Style" w:eastAsia="Times New Roman" w:hAnsi="Bookman Old Style"/>
          <w:sz w:val="24"/>
          <w:szCs w:val="24"/>
        </w:rPr>
        <w:t>,</w:t>
      </w:r>
      <w:r w:rsidRPr="00A90FA1">
        <w:rPr>
          <w:rFonts w:ascii="Bookman Old Style" w:eastAsia="Times New Roman" w:hAnsi="Bookman Old Style"/>
          <w:sz w:val="24"/>
          <w:szCs w:val="24"/>
        </w:rPr>
        <w:t xml:space="preserve"> faced the same wrath. </w:t>
      </w:r>
    </w:p>
    <w:p w14:paraId="1B9CCC0B" w14:textId="77777777" w:rsidR="00907562" w:rsidRPr="00A90FA1" w:rsidRDefault="00907562" w:rsidP="00907562">
      <w:pPr>
        <w:jc w:val="both"/>
        <w:rPr>
          <w:rFonts w:ascii="Bookman Old Style" w:eastAsia="Times New Roman" w:hAnsi="Bookman Old Style"/>
          <w:sz w:val="24"/>
          <w:szCs w:val="24"/>
        </w:rPr>
      </w:pPr>
    </w:p>
    <w:p w14:paraId="694C9072" w14:textId="77777777" w:rsidR="00907562" w:rsidRPr="00A90FA1" w:rsidRDefault="00907562" w:rsidP="00907562">
      <w:pPr>
        <w:jc w:val="both"/>
        <w:rPr>
          <w:rFonts w:ascii="Bookman Old Style" w:eastAsia="Times New Roman" w:hAnsi="Bookman Old Style"/>
          <w:sz w:val="24"/>
          <w:szCs w:val="24"/>
        </w:rPr>
      </w:pPr>
    </w:p>
    <w:p w14:paraId="394E4613" w14:textId="77777777" w:rsidR="00907562" w:rsidRPr="00A90FA1" w:rsidRDefault="00907562" w:rsidP="00907562">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But Evatt was ahead of his time, as Gideon has so well set out. </w:t>
      </w:r>
    </w:p>
    <w:p w14:paraId="0AE30685" w14:textId="77777777" w:rsidR="00907562" w:rsidRPr="00A90FA1" w:rsidRDefault="00907562" w:rsidP="00907562">
      <w:pPr>
        <w:jc w:val="both"/>
        <w:rPr>
          <w:rFonts w:ascii="Bookman Old Style" w:eastAsia="Times New Roman" w:hAnsi="Bookman Old Style"/>
          <w:sz w:val="24"/>
          <w:szCs w:val="24"/>
        </w:rPr>
      </w:pPr>
    </w:p>
    <w:p w14:paraId="427DD7F6" w14:textId="77777777" w:rsidR="00907562" w:rsidRPr="00A90FA1" w:rsidRDefault="00907562" w:rsidP="00907562">
      <w:pPr>
        <w:jc w:val="both"/>
        <w:rPr>
          <w:rFonts w:ascii="Bookman Old Style" w:eastAsia="Times New Roman" w:hAnsi="Bookman Old Style"/>
          <w:sz w:val="24"/>
          <w:szCs w:val="24"/>
        </w:rPr>
      </w:pPr>
    </w:p>
    <w:p w14:paraId="0D5CDCA4" w14:textId="4B316563" w:rsidR="00907562" w:rsidRPr="00A90FA1" w:rsidRDefault="00907562" w:rsidP="00907562">
      <w:pPr>
        <w:jc w:val="both"/>
        <w:rPr>
          <w:rFonts w:ascii="Bookman Old Style" w:eastAsia="Times New Roman" w:hAnsi="Bookman Old Style"/>
          <w:sz w:val="24"/>
          <w:szCs w:val="24"/>
        </w:rPr>
      </w:pPr>
      <w:r w:rsidRPr="00A90FA1">
        <w:rPr>
          <w:rFonts w:ascii="Bookman Old Style" w:eastAsia="Times New Roman" w:hAnsi="Bookman Old Style"/>
          <w:sz w:val="24"/>
          <w:szCs w:val="24"/>
        </w:rPr>
        <w:t>We still see today</w:t>
      </w:r>
      <w:r w:rsidR="00AD0B61" w:rsidRPr="00A90FA1">
        <w:rPr>
          <w:rFonts w:ascii="Bookman Old Style" w:eastAsia="Times New Roman" w:hAnsi="Bookman Old Style"/>
          <w:sz w:val="24"/>
          <w:szCs w:val="24"/>
        </w:rPr>
        <w:t>, howev</w:t>
      </w:r>
      <w:r w:rsidR="00C14446" w:rsidRPr="00A90FA1">
        <w:rPr>
          <w:rFonts w:ascii="Bookman Old Style" w:eastAsia="Times New Roman" w:hAnsi="Bookman Old Style"/>
          <w:sz w:val="24"/>
          <w:szCs w:val="24"/>
        </w:rPr>
        <w:t>er,</w:t>
      </w:r>
      <w:r w:rsidRPr="00A90FA1">
        <w:rPr>
          <w:rFonts w:ascii="Bookman Old Style" w:eastAsia="Times New Roman" w:hAnsi="Bookman Old Style"/>
          <w:sz w:val="24"/>
          <w:szCs w:val="24"/>
        </w:rPr>
        <w:t xml:space="preserve"> a skepticism of </w:t>
      </w:r>
      <w:r w:rsidR="00763EB4" w:rsidRPr="00A90FA1">
        <w:rPr>
          <w:rFonts w:ascii="Bookman Old Style" w:eastAsia="Times New Roman" w:hAnsi="Bookman Old Style"/>
          <w:sz w:val="24"/>
          <w:szCs w:val="24"/>
        </w:rPr>
        <w:t xml:space="preserve">some </w:t>
      </w:r>
      <w:r w:rsidRPr="00A90FA1">
        <w:rPr>
          <w:rFonts w:ascii="Bookman Old Style" w:eastAsia="Times New Roman" w:hAnsi="Bookman Old Style"/>
          <w:sz w:val="24"/>
          <w:szCs w:val="24"/>
        </w:rPr>
        <w:t xml:space="preserve">nervous shock claims. </w:t>
      </w:r>
    </w:p>
    <w:p w14:paraId="3E89257E" w14:textId="77777777" w:rsidR="00907562" w:rsidRPr="00A90FA1" w:rsidRDefault="00907562" w:rsidP="00907562">
      <w:pPr>
        <w:jc w:val="both"/>
        <w:rPr>
          <w:rFonts w:ascii="Bookman Old Style" w:eastAsia="Times New Roman" w:hAnsi="Bookman Old Style"/>
          <w:sz w:val="24"/>
          <w:szCs w:val="24"/>
        </w:rPr>
      </w:pPr>
    </w:p>
    <w:p w14:paraId="2E70292B" w14:textId="77777777" w:rsidR="00907562" w:rsidRPr="00A90FA1" w:rsidRDefault="00907562" w:rsidP="00907562">
      <w:pPr>
        <w:jc w:val="both"/>
        <w:rPr>
          <w:rFonts w:ascii="Bookman Old Style" w:eastAsia="Times New Roman" w:hAnsi="Bookman Old Style"/>
          <w:sz w:val="24"/>
          <w:szCs w:val="24"/>
        </w:rPr>
      </w:pPr>
    </w:p>
    <w:p w14:paraId="1FE81AA9" w14:textId="7D707C34" w:rsidR="00907562" w:rsidRPr="00A90FA1" w:rsidRDefault="00907562" w:rsidP="00907562">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But are times a-changing? Keogh J in his recent decision, </w:t>
      </w:r>
      <w:r w:rsidRPr="00A90FA1">
        <w:rPr>
          <w:rFonts w:ascii="Bookman Old Style" w:eastAsia="Times New Roman" w:hAnsi="Bookman Old Style"/>
          <w:i/>
          <w:iCs/>
          <w:sz w:val="24"/>
          <w:szCs w:val="24"/>
        </w:rPr>
        <w:t xml:space="preserve">O'Connor v Comensoli </w:t>
      </w:r>
      <w:r w:rsidRPr="00A90FA1">
        <w:rPr>
          <w:rFonts w:ascii="Bookman Old Style" w:eastAsia="Times New Roman" w:hAnsi="Bookman Old Style"/>
          <w:sz w:val="24"/>
          <w:szCs w:val="24"/>
        </w:rPr>
        <w:t xml:space="preserve">[2022] VSC 313, in a claim for damages arising from psychiatric injury from childhood sexual abuse, assessed the non-economic loss damages component at $525,000, even more than Plaintiff’s counsel sought. </w:t>
      </w:r>
    </w:p>
    <w:p w14:paraId="2AA8EF02" w14:textId="706B50AA" w:rsidR="002F0317" w:rsidRPr="00A90FA1" w:rsidRDefault="00907562" w:rsidP="00907562">
      <w:pPr>
        <w:jc w:val="both"/>
        <w:rPr>
          <w:rFonts w:ascii="Bookman Old Style" w:eastAsia="Times New Roman" w:hAnsi="Bookman Old Style"/>
          <w:sz w:val="24"/>
          <w:szCs w:val="24"/>
        </w:rPr>
      </w:pPr>
      <w:r w:rsidRPr="00A90FA1">
        <w:rPr>
          <w:rFonts w:ascii="Bookman Old Style" w:eastAsia="Times New Roman" w:hAnsi="Bookman Old Style"/>
          <w:sz w:val="24"/>
          <w:szCs w:val="24"/>
        </w:rPr>
        <w:br/>
      </w:r>
    </w:p>
    <w:p w14:paraId="2DE5DB5F" w14:textId="3CC805CB" w:rsidR="002F0317" w:rsidRPr="00A90FA1" w:rsidRDefault="00112FBD"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The book </w:t>
      </w:r>
      <w:r w:rsidR="002F0317" w:rsidRPr="00A90FA1">
        <w:rPr>
          <w:rFonts w:ascii="Bookman Old Style" w:eastAsia="Times New Roman" w:hAnsi="Bookman Old Style"/>
          <w:sz w:val="24"/>
          <w:szCs w:val="24"/>
        </w:rPr>
        <w:t xml:space="preserve">also shines a light on how the law grapples - like the medical profession and society generally - with mental health. When one </w:t>
      </w:r>
      <w:r w:rsidR="00C14446" w:rsidRPr="00A90FA1">
        <w:rPr>
          <w:rFonts w:ascii="Bookman Old Style" w:eastAsia="Times New Roman" w:hAnsi="Bookman Old Style"/>
          <w:sz w:val="24"/>
          <w:szCs w:val="24"/>
        </w:rPr>
        <w:t>thinks back</w:t>
      </w:r>
      <w:r w:rsidR="002F0317" w:rsidRPr="00A90FA1">
        <w:rPr>
          <w:rFonts w:ascii="Bookman Old Style" w:eastAsia="Times New Roman" w:hAnsi="Bookman Old Style"/>
          <w:sz w:val="24"/>
          <w:szCs w:val="24"/>
        </w:rPr>
        <w:t xml:space="preserve"> </w:t>
      </w:r>
      <w:r w:rsidR="00C14446" w:rsidRPr="00A90FA1">
        <w:rPr>
          <w:rFonts w:ascii="Bookman Old Style" w:eastAsia="Times New Roman" w:hAnsi="Bookman Old Style"/>
          <w:sz w:val="24"/>
          <w:szCs w:val="24"/>
        </w:rPr>
        <w:t xml:space="preserve">to </w:t>
      </w:r>
      <w:r w:rsidR="002F0317" w:rsidRPr="00A90FA1">
        <w:rPr>
          <w:rFonts w:ascii="Bookman Old Style" w:eastAsia="Times New Roman" w:hAnsi="Bookman Old Style"/>
          <w:sz w:val="24"/>
          <w:szCs w:val="24"/>
        </w:rPr>
        <w:t xml:space="preserve">older family </w:t>
      </w:r>
      <w:r w:rsidR="00FC2D62" w:rsidRPr="00A90FA1">
        <w:rPr>
          <w:rFonts w:ascii="Bookman Old Style" w:eastAsia="Times New Roman" w:hAnsi="Bookman Old Style"/>
          <w:sz w:val="24"/>
          <w:szCs w:val="24"/>
        </w:rPr>
        <w:t xml:space="preserve">or friends </w:t>
      </w:r>
      <w:r w:rsidR="002F0317" w:rsidRPr="00A90FA1">
        <w:rPr>
          <w:rFonts w:ascii="Bookman Old Style" w:eastAsia="Times New Roman" w:hAnsi="Bookman Old Style"/>
          <w:sz w:val="24"/>
          <w:szCs w:val="24"/>
        </w:rPr>
        <w:t>talk</w:t>
      </w:r>
      <w:r w:rsidR="002204BA" w:rsidRPr="00A90FA1">
        <w:rPr>
          <w:rFonts w:ascii="Bookman Old Style" w:eastAsia="Times New Roman" w:hAnsi="Bookman Old Style"/>
          <w:sz w:val="24"/>
          <w:szCs w:val="24"/>
        </w:rPr>
        <w:t>ing</w:t>
      </w:r>
      <w:r w:rsidR="002F0317" w:rsidRPr="00A90FA1">
        <w:rPr>
          <w:rFonts w:ascii="Bookman Old Style" w:eastAsia="Times New Roman" w:hAnsi="Bookman Old Style"/>
          <w:sz w:val="24"/>
          <w:szCs w:val="24"/>
        </w:rPr>
        <w:t xml:space="preserve"> about returned soldiers </w:t>
      </w:r>
      <w:r w:rsidR="0070180E" w:rsidRPr="00A90FA1">
        <w:rPr>
          <w:rFonts w:ascii="Bookman Old Style" w:eastAsia="Times New Roman" w:hAnsi="Bookman Old Style"/>
          <w:sz w:val="24"/>
          <w:szCs w:val="24"/>
        </w:rPr>
        <w:t xml:space="preserve">from World War II </w:t>
      </w:r>
      <w:r w:rsidR="002F0317" w:rsidRPr="00A90FA1">
        <w:rPr>
          <w:rFonts w:ascii="Bookman Old Style" w:eastAsia="Times New Roman" w:hAnsi="Bookman Old Style"/>
          <w:sz w:val="24"/>
          <w:szCs w:val="24"/>
        </w:rPr>
        <w:t xml:space="preserve">having “shell shock” in hushed tones, it seems that only a generation ago our society perhaps didn’t like speaking about, </w:t>
      </w:r>
      <w:r w:rsidR="0070180E" w:rsidRPr="00A90FA1">
        <w:rPr>
          <w:rFonts w:ascii="Bookman Old Style" w:eastAsia="Times New Roman" w:hAnsi="Bookman Old Style"/>
          <w:sz w:val="24"/>
          <w:szCs w:val="24"/>
        </w:rPr>
        <w:t>didn’t like</w:t>
      </w:r>
      <w:r w:rsidR="002F0317" w:rsidRPr="00A90FA1">
        <w:rPr>
          <w:rFonts w:ascii="Bookman Old Style" w:eastAsia="Times New Roman" w:hAnsi="Bookman Old Style"/>
          <w:sz w:val="24"/>
          <w:szCs w:val="24"/>
        </w:rPr>
        <w:t xml:space="preserve"> confronting, mental </w:t>
      </w:r>
      <w:proofErr w:type="gramStart"/>
      <w:r w:rsidR="002F0317" w:rsidRPr="00A90FA1">
        <w:rPr>
          <w:rFonts w:ascii="Bookman Old Style" w:eastAsia="Times New Roman" w:hAnsi="Bookman Old Style"/>
          <w:sz w:val="24"/>
          <w:szCs w:val="24"/>
        </w:rPr>
        <w:t>health</w:t>
      </w:r>
      <w:proofErr w:type="gramEnd"/>
      <w:r w:rsidR="002F0317" w:rsidRPr="00A90FA1">
        <w:rPr>
          <w:rFonts w:ascii="Bookman Old Style" w:eastAsia="Times New Roman" w:hAnsi="Bookman Old Style"/>
          <w:sz w:val="24"/>
          <w:szCs w:val="24"/>
        </w:rPr>
        <w:t xml:space="preserve"> and psychiatric injury in a way that we might </w:t>
      </w:r>
      <w:r w:rsidR="0070180E" w:rsidRPr="00A90FA1">
        <w:rPr>
          <w:rFonts w:ascii="Bookman Old Style" w:eastAsia="Times New Roman" w:hAnsi="Bookman Old Style"/>
          <w:sz w:val="24"/>
          <w:szCs w:val="24"/>
        </w:rPr>
        <w:t>be better at now</w:t>
      </w:r>
      <w:r w:rsidR="00F23164" w:rsidRPr="00A90FA1">
        <w:rPr>
          <w:rFonts w:ascii="Bookman Old Style" w:eastAsia="Times New Roman" w:hAnsi="Bookman Old Style"/>
          <w:sz w:val="24"/>
          <w:szCs w:val="24"/>
        </w:rPr>
        <w:t>, but are probably yet to grapple with fully</w:t>
      </w:r>
      <w:r w:rsidR="002F0317" w:rsidRPr="00A90FA1">
        <w:rPr>
          <w:rFonts w:ascii="Bookman Old Style" w:eastAsia="Times New Roman" w:hAnsi="Bookman Old Style"/>
          <w:sz w:val="24"/>
          <w:szCs w:val="24"/>
        </w:rPr>
        <w:t xml:space="preserve">. </w:t>
      </w:r>
    </w:p>
    <w:p w14:paraId="661D9577" w14:textId="77777777" w:rsidR="002F0317" w:rsidRPr="00A90FA1" w:rsidRDefault="002F0317" w:rsidP="002F0317">
      <w:pPr>
        <w:jc w:val="both"/>
        <w:rPr>
          <w:rFonts w:ascii="Bookman Old Style" w:eastAsia="Times New Roman" w:hAnsi="Bookman Old Style"/>
          <w:sz w:val="24"/>
          <w:szCs w:val="24"/>
        </w:rPr>
      </w:pPr>
    </w:p>
    <w:p w14:paraId="17FBDAC9" w14:textId="77777777" w:rsidR="002F0317" w:rsidRPr="00A90FA1" w:rsidRDefault="002F0317" w:rsidP="002F0317">
      <w:pPr>
        <w:jc w:val="both"/>
        <w:rPr>
          <w:rFonts w:ascii="Bookman Old Style" w:eastAsia="Times New Roman" w:hAnsi="Bookman Old Style"/>
          <w:sz w:val="24"/>
          <w:szCs w:val="24"/>
        </w:rPr>
      </w:pPr>
    </w:p>
    <w:p w14:paraId="371D28F3" w14:textId="2CC663FE"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Our own profession is arguably yet to grapple fully with the issue either. </w:t>
      </w:r>
      <w:proofErr w:type="gramStart"/>
      <w:r w:rsidRPr="00A90FA1">
        <w:rPr>
          <w:rFonts w:ascii="Bookman Old Style" w:eastAsia="Times New Roman" w:hAnsi="Bookman Old Style"/>
          <w:sz w:val="24"/>
          <w:szCs w:val="24"/>
        </w:rPr>
        <w:t>We know now</w:t>
      </w:r>
      <w:proofErr w:type="gramEnd"/>
      <w:r w:rsidRPr="00A90FA1">
        <w:rPr>
          <w:rFonts w:ascii="Bookman Old Style" w:eastAsia="Times New Roman" w:hAnsi="Bookman Old Style"/>
          <w:sz w:val="24"/>
          <w:szCs w:val="24"/>
        </w:rPr>
        <w:t xml:space="preserve"> something of the risks of vicarious trauma from advocating for the plights of our clients</w:t>
      </w:r>
      <w:r w:rsidR="001817AE" w:rsidRPr="00A90FA1">
        <w:rPr>
          <w:rFonts w:ascii="Bookman Old Style" w:eastAsia="Times New Roman" w:hAnsi="Bookman Old Style"/>
          <w:sz w:val="24"/>
          <w:szCs w:val="24"/>
        </w:rPr>
        <w:t xml:space="preserve"> and something about bullying in our own workplace</w:t>
      </w:r>
      <w:r w:rsidRPr="00A90FA1">
        <w:rPr>
          <w:rFonts w:ascii="Bookman Old Style" w:eastAsia="Times New Roman" w:hAnsi="Bookman Old Style"/>
          <w:sz w:val="24"/>
          <w:szCs w:val="24"/>
        </w:rPr>
        <w:t xml:space="preserve">. </w:t>
      </w:r>
    </w:p>
    <w:p w14:paraId="3E29D5CB" w14:textId="77777777" w:rsidR="002F0317" w:rsidRPr="00A90FA1" w:rsidRDefault="002F0317" w:rsidP="002F0317">
      <w:pPr>
        <w:jc w:val="both"/>
        <w:rPr>
          <w:rFonts w:ascii="Bookman Old Style" w:eastAsia="Times New Roman" w:hAnsi="Bookman Old Style"/>
          <w:sz w:val="24"/>
          <w:szCs w:val="24"/>
        </w:rPr>
      </w:pPr>
    </w:p>
    <w:p w14:paraId="65FBB040" w14:textId="77777777" w:rsidR="002F0317" w:rsidRPr="00A90FA1" w:rsidRDefault="002F0317" w:rsidP="002F0317">
      <w:pPr>
        <w:jc w:val="both"/>
        <w:rPr>
          <w:rFonts w:ascii="Bookman Old Style" w:eastAsia="Times New Roman" w:hAnsi="Bookman Old Style"/>
          <w:sz w:val="24"/>
          <w:szCs w:val="24"/>
        </w:rPr>
      </w:pPr>
    </w:p>
    <w:p w14:paraId="03A5697C" w14:textId="383E0C79" w:rsidR="002F0317" w:rsidRPr="00A90FA1" w:rsidRDefault="007E2A00"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The </w:t>
      </w:r>
      <w:r w:rsidR="002F0317" w:rsidRPr="00A90FA1">
        <w:rPr>
          <w:rFonts w:ascii="Bookman Old Style" w:eastAsia="Times New Roman" w:hAnsi="Bookman Old Style"/>
          <w:sz w:val="24"/>
          <w:szCs w:val="24"/>
        </w:rPr>
        <w:t xml:space="preserve">High Court case of </w:t>
      </w:r>
      <w:r w:rsidR="002F0317" w:rsidRPr="00A90FA1">
        <w:rPr>
          <w:rFonts w:ascii="Bookman Old Style" w:eastAsia="Times New Roman" w:hAnsi="Bookman Old Style"/>
          <w:i/>
          <w:iCs/>
          <w:sz w:val="24"/>
          <w:szCs w:val="24"/>
        </w:rPr>
        <w:t>Kozarov</w:t>
      </w:r>
      <w:r w:rsidR="002F0317" w:rsidRPr="00A90FA1">
        <w:rPr>
          <w:rFonts w:ascii="Bookman Old Style" w:eastAsia="Times New Roman" w:hAnsi="Bookman Old Style"/>
          <w:sz w:val="24"/>
          <w:szCs w:val="24"/>
        </w:rPr>
        <w:t xml:space="preserve"> is arguably another movement forward</w:t>
      </w:r>
      <w:r w:rsidR="00B4223E" w:rsidRPr="00A90FA1">
        <w:rPr>
          <w:rFonts w:ascii="Bookman Old Style" w:eastAsia="Times New Roman" w:hAnsi="Bookman Old Style"/>
          <w:sz w:val="24"/>
          <w:szCs w:val="24"/>
        </w:rPr>
        <w:t xml:space="preserve"> in nervous shock’s development</w:t>
      </w:r>
      <w:r w:rsidR="002F0317" w:rsidRPr="00A90FA1">
        <w:rPr>
          <w:rFonts w:ascii="Bookman Old Style" w:eastAsia="Times New Roman" w:hAnsi="Bookman Old Style"/>
          <w:sz w:val="24"/>
          <w:szCs w:val="24"/>
        </w:rPr>
        <w:t xml:space="preserve">. Or is it? </w:t>
      </w:r>
      <w:r w:rsidR="003F3F3C" w:rsidRPr="00A90FA1">
        <w:rPr>
          <w:rFonts w:ascii="Bookman Old Style" w:eastAsia="Times New Roman" w:hAnsi="Bookman Old Style"/>
          <w:sz w:val="24"/>
          <w:szCs w:val="24"/>
        </w:rPr>
        <w:t xml:space="preserve">A case handed down yesterday might have the answer. </w:t>
      </w:r>
    </w:p>
    <w:p w14:paraId="7BCC728A" w14:textId="77777777" w:rsidR="002F0317" w:rsidRPr="00A90FA1" w:rsidRDefault="002F0317" w:rsidP="002F0317">
      <w:pPr>
        <w:jc w:val="both"/>
        <w:rPr>
          <w:rFonts w:ascii="Bookman Old Style" w:eastAsia="Times New Roman" w:hAnsi="Bookman Old Style"/>
          <w:sz w:val="24"/>
          <w:szCs w:val="24"/>
        </w:rPr>
      </w:pPr>
    </w:p>
    <w:p w14:paraId="6D5316AF" w14:textId="77777777" w:rsidR="002F0317" w:rsidRPr="00A90FA1" w:rsidRDefault="002F0317" w:rsidP="002F0317">
      <w:pPr>
        <w:jc w:val="both"/>
        <w:rPr>
          <w:rFonts w:ascii="Bookman Old Style" w:eastAsia="Times New Roman" w:hAnsi="Bookman Old Style"/>
          <w:sz w:val="24"/>
          <w:szCs w:val="24"/>
        </w:rPr>
      </w:pPr>
    </w:p>
    <w:p w14:paraId="279A2FD6" w14:textId="636592BE"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Before I look at that case, I want to talk about </w:t>
      </w:r>
      <w:r w:rsidR="00115AD0" w:rsidRPr="00A90FA1">
        <w:rPr>
          <w:rFonts w:ascii="Bookman Old Style" w:eastAsia="Times New Roman" w:hAnsi="Bookman Old Style"/>
          <w:sz w:val="24"/>
          <w:szCs w:val="24"/>
        </w:rPr>
        <w:t>a few other</w:t>
      </w:r>
      <w:r w:rsidRPr="00A90FA1">
        <w:rPr>
          <w:rFonts w:ascii="Bookman Old Style" w:eastAsia="Times New Roman" w:hAnsi="Bookman Old Style"/>
          <w:sz w:val="24"/>
          <w:szCs w:val="24"/>
        </w:rPr>
        <w:t xml:space="preserve"> </w:t>
      </w:r>
      <w:r w:rsidR="00115AD0" w:rsidRPr="00A90FA1">
        <w:rPr>
          <w:rFonts w:ascii="Bookman Old Style" w:eastAsia="Times New Roman" w:hAnsi="Bookman Old Style"/>
          <w:sz w:val="24"/>
          <w:szCs w:val="24"/>
        </w:rPr>
        <w:t>concepts and cases</w:t>
      </w:r>
      <w:r w:rsidRPr="00A90FA1">
        <w:rPr>
          <w:rFonts w:ascii="Bookman Old Style" w:eastAsia="Times New Roman" w:hAnsi="Bookman Old Style"/>
          <w:sz w:val="24"/>
          <w:szCs w:val="24"/>
        </w:rPr>
        <w:t xml:space="preserve">. </w:t>
      </w:r>
    </w:p>
    <w:p w14:paraId="6129ECBF" w14:textId="77777777" w:rsidR="002F0317" w:rsidRPr="00A90FA1" w:rsidRDefault="002F0317" w:rsidP="002F0317">
      <w:pPr>
        <w:jc w:val="both"/>
        <w:rPr>
          <w:rFonts w:ascii="Bookman Old Style" w:eastAsia="Times New Roman" w:hAnsi="Bookman Old Style"/>
          <w:sz w:val="24"/>
          <w:szCs w:val="24"/>
        </w:rPr>
      </w:pPr>
    </w:p>
    <w:p w14:paraId="206C4A95" w14:textId="77777777" w:rsidR="002F0317" w:rsidRPr="00A90FA1" w:rsidRDefault="002F0317" w:rsidP="002F0317">
      <w:pPr>
        <w:jc w:val="both"/>
        <w:rPr>
          <w:rFonts w:ascii="Bookman Old Style" w:eastAsia="Times New Roman" w:hAnsi="Bookman Old Style"/>
          <w:sz w:val="24"/>
          <w:szCs w:val="24"/>
        </w:rPr>
      </w:pPr>
    </w:p>
    <w:p w14:paraId="7575FEE2" w14:textId="77777777" w:rsidR="002F0317" w:rsidRPr="00A90FA1" w:rsidRDefault="002F0317" w:rsidP="002F0317">
      <w:pPr>
        <w:jc w:val="both"/>
        <w:rPr>
          <w:rFonts w:ascii="Bookman Old Style" w:eastAsia="Times New Roman" w:hAnsi="Bookman Old Style"/>
          <w:b/>
          <w:bCs/>
          <w:sz w:val="24"/>
          <w:szCs w:val="24"/>
        </w:rPr>
      </w:pPr>
      <w:r w:rsidRPr="00A90FA1">
        <w:rPr>
          <w:rFonts w:ascii="Bookman Old Style" w:eastAsia="Times New Roman" w:hAnsi="Bookman Old Style"/>
          <w:b/>
          <w:bCs/>
          <w:sz w:val="24"/>
          <w:szCs w:val="24"/>
        </w:rPr>
        <w:t xml:space="preserve">Recognisable psychiatric injury </w:t>
      </w:r>
    </w:p>
    <w:p w14:paraId="4AC00C40" w14:textId="77777777" w:rsidR="002F0317" w:rsidRPr="00A90FA1" w:rsidRDefault="002F0317" w:rsidP="002F0317">
      <w:pPr>
        <w:jc w:val="both"/>
        <w:rPr>
          <w:rFonts w:ascii="Bookman Old Style" w:eastAsia="Times New Roman" w:hAnsi="Bookman Old Style"/>
          <w:sz w:val="24"/>
          <w:szCs w:val="24"/>
        </w:rPr>
      </w:pPr>
    </w:p>
    <w:p w14:paraId="44A2DF85" w14:textId="77777777" w:rsidR="002F0317" w:rsidRPr="00A90FA1" w:rsidRDefault="002F0317" w:rsidP="002F0317">
      <w:pPr>
        <w:jc w:val="both"/>
        <w:rPr>
          <w:rFonts w:ascii="Bookman Old Style" w:eastAsia="Times New Roman" w:hAnsi="Bookman Old Style"/>
          <w:sz w:val="24"/>
          <w:szCs w:val="24"/>
        </w:rPr>
      </w:pPr>
    </w:p>
    <w:p w14:paraId="3A40BA60" w14:textId="77777777" w:rsidR="00D56D7D"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Under the </w:t>
      </w:r>
      <w:r w:rsidRPr="00A90FA1">
        <w:rPr>
          <w:rFonts w:ascii="Bookman Old Style" w:eastAsia="Times New Roman" w:hAnsi="Bookman Old Style"/>
          <w:i/>
          <w:iCs/>
          <w:sz w:val="24"/>
          <w:szCs w:val="24"/>
        </w:rPr>
        <w:t>Wrongs Act</w:t>
      </w:r>
      <w:r w:rsidRPr="00A90FA1">
        <w:rPr>
          <w:rFonts w:ascii="Bookman Old Style" w:eastAsia="Times New Roman" w:hAnsi="Bookman Old Style"/>
          <w:sz w:val="24"/>
          <w:szCs w:val="24"/>
        </w:rPr>
        <w:t xml:space="preserve">, for claims involving pure psychiatric injury, </w:t>
      </w:r>
      <w:r w:rsidR="00D56D7D" w:rsidRPr="00A90FA1">
        <w:rPr>
          <w:rFonts w:ascii="Bookman Old Style" w:eastAsia="Times New Roman" w:hAnsi="Bookman Old Style"/>
          <w:sz w:val="24"/>
          <w:szCs w:val="24"/>
        </w:rPr>
        <w:t>plaintiffs face a series of hurdles</w:t>
      </w:r>
      <w:r w:rsidRPr="00A90FA1">
        <w:rPr>
          <w:rFonts w:ascii="Bookman Old Style" w:eastAsia="Times New Roman" w:hAnsi="Bookman Old Style"/>
          <w:sz w:val="24"/>
          <w:szCs w:val="24"/>
        </w:rPr>
        <w:t xml:space="preserve">. </w:t>
      </w:r>
    </w:p>
    <w:p w14:paraId="4A21DF46" w14:textId="77777777" w:rsidR="00D56D7D" w:rsidRPr="00A90FA1" w:rsidRDefault="00D56D7D" w:rsidP="002F0317">
      <w:pPr>
        <w:jc w:val="both"/>
        <w:rPr>
          <w:rFonts w:ascii="Bookman Old Style" w:eastAsia="Times New Roman" w:hAnsi="Bookman Old Style"/>
          <w:sz w:val="24"/>
          <w:szCs w:val="24"/>
        </w:rPr>
      </w:pPr>
    </w:p>
    <w:p w14:paraId="3765DD37" w14:textId="26ADA186" w:rsidR="002F0317" w:rsidRPr="00A90FA1" w:rsidRDefault="00843859"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One</w:t>
      </w:r>
      <w:r w:rsidR="002F0317" w:rsidRPr="00A90FA1">
        <w:rPr>
          <w:rFonts w:ascii="Bookman Old Style" w:eastAsia="Times New Roman" w:hAnsi="Bookman Old Style"/>
          <w:sz w:val="24"/>
          <w:szCs w:val="24"/>
        </w:rPr>
        <w:t xml:space="preserve"> is a 10% or more Whole Person Impairment under The Guide to the Evaluation of Psychiatric Impairment for Clinicians</w:t>
      </w:r>
      <w:r w:rsidR="00A02420" w:rsidRPr="00A90FA1">
        <w:rPr>
          <w:rFonts w:ascii="Bookman Old Style" w:eastAsia="Times New Roman" w:hAnsi="Bookman Old Style"/>
          <w:sz w:val="24"/>
          <w:szCs w:val="24"/>
        </w:rPr>
        <w:t>,</w:t>
      </w:r>
      <w:r w:rsidR="002F0317" w:rsidRPr="00A90FA1">
        <w:rPr>
          <w:rFonts w:ascii="Bookman Old Style" w:eastAsia="Times New Roman" w:hAnsi="Bookman Old Style"/>
          <w:sz w:val="24"/>
          <w:szCs w:val="24"/>
        </w:rPr>
        <w:t xml:space="preserve"> to obtain non-economic loss</w:t>
      </w:r>
      <w:r w:rsidR="00A02420" w:rsidRPr="00A90FA1">
        <w:rPr>
          <w:rFonts w:ascii="Bookman Old Style" w:eastAsia="Times New Roman" w:hAnsi="Bookman Old Style"/>
          <w:sz w:val="24"/>
          <w:szCs w:val="24"/>
        </w:rPr>
        <w:t xml:space="preserve"> damages</w:t>
      </w:r>
      <w:r w:rsidR="00221636" w:rsidRPr="00A90FA1">
        <w:rPr>
          <w:rFonts w:ascii="Bookman Old Style" w:eastAsia="Times New Roman" w:hAnsi="Bookman Old Style"/>
          <w:sz w:val="24"/>
          <w:szCs w:val="24"/>
        </w:rPr>
        <w:t>, often the most significant damages component of a claim</w:t>
      </w:r>
      <w:r w:rsidR="002F0317" w:rsidRPr="00A90FA1">
        <w:rPr>
          <w:rFonts w:ascii="Bookman Old Style" w:eastAsia="Times New Roman" w:hAnsi="Bookman Old Style"/>
          <w:sz w:val="24"/>
          <w:szCs w:val="24"/>
        </w:rPr>
        <w:t xml:space="preserve">. </w:t>
      </w:r>
      <w:r w:rsidR="00D56D7D" w:rsidRPr="00A90FA1">
        <w:rPr>
          <w:rFonts w:ascii="Bookman Old Style" w:eastAsia="Times New Roman" w:hAnsi="Bookman Old Style"/>
          <w:sz w:val="24"/>
          <w:szCs w:val="24"/>
        </w:rPr>
        <w:t xml:space="preserve"> </w:t>
      </w:r>
    </w:p>
    <w:p w14:paraId="59E45009" w14:textId="77777777" w:rsidR="002F0317" w:rsidRPr="00A90FA1" w:rsidRDefault="002F0317" w:rsidP="002F0317">
      <w:pPr>
        <w:jc w:val="both"/>
        <w:rPr>
          <w:rFonts w:ascii="Bookman Old Style" w:eastAsia="Times New Roman" w:hAnsi="Bookman Old Style"/>
          <w:sz w:val="24"/>
          <w:szCs w:val="24"/>
        </w:rPr>
      </w:pPr>
    </w:p>
    <w:p w14:paraId="26DF46EF" w14:textId="77777777" w:rsidR="002F0317" w:rsidRPr="00A90FA1" w:rsidRDefault="002F0317" w:rsidP="002F0317">
      <w:pPr>
        <w:jc w:val="both"/>
        <w:rPr>
          <w:rFonts w:ascii="Bookman Old Style" w:eastAsia="Times New Roman" w:hAnsi="Bookman Old Style"/>
          <w:sz w:val="24"/>
          <w:szCs w:val="24"/>
        </w:rPr>
      </w:pPr>
    </w:p>
    <w:p w14:paraId="5EB0F43F" w14:textId="6266FA82"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But another barrier, perhaps overlooked in some cases, is the need to establish that, for a duty </w:t>
      </w:r>
      <w:r w:rsidR="00C871A2" w:rsidRPr="00A90FA1">
        <w:rPr>
          <w:rFonts w:ascii="Bookman Old Style" w:eastAsia="Times New Roman" w:hAnsi="Bookman Old Style"/>
          <w:sz w:val="24"/>
          <w:szCs w:val="24"/>
        </w:rPr>
        <w:t xml:space="preserve">of care </w:t>
      </w:r>
      <w:r w:rsidRPr="00A90FA1">
        <w:rPr>
          <w:rFonts w:ascii="Bookman Old Style" w:eastAsia="Times New Roman" w:hAnsi="Bookman Old Style"/>
          <w:sz w:val="24"/>
          <w:szCs w:val="24"/>
        </w:rPr>
        <w:t xml:space="preserve">to arise, a person of normal fortitude </w:t>
      </w:r>
      <w:r w:rsidR="002B312D" w:rsidRPr="00A90FA1">
        <w:rPr>
          <w:rFonts w:ascii="Bookman Old Style" w:eastAsia="Times New Roman" w:hAnsi="Bookman Old Style"/>
          <w:sz w:val="24"/>
          <w:szCs w:val="24"/>
        </w:rPr>
        <w:t>would</w:t>
      </w:r>
      <w:r w:rsidRPr="00A90FA1">
        <w:rPr>
          <w:rFonts w:ascii="Bookman Old Style" w:eastAsia="Times New Roman" w:hAnsi="Bookman Old Style"/>
          <w:sz w:val="24"/>
          <w:szCs w:val="24"/>
        </w:rPr>
        <w:t xml:space="preserve"> </w:t>
      </w:r>
      <w:r w:rsidR="002B312D" w:rsidRPr="00A90FA1">
        <w:rPr>
          <w:rFonts w:ascii="Bookman Old Style" w:eastAsia="Times New Roman" w:hAnsi="Bookman Old Style"/>
          <w:sz w:val="24"/>
          <w:szCs w:val="24"/>
        </w:rPr>
        <w:t xml:space="preserve">have </w:t>
      </w:r>
      <w:r w:rsidRPr="00A90FA1">
        <w:rPr>
          <w:rFonts w:ascii="Bookman Old Style" w:eastAsia="Times New Roman" w:hAnsi="Bookman Old Style"/>
          <w:sz w:val="24"/>
          <w:szCs w:val="24"/>
        </w:rPr>
        <w:t>suffer</w:t>
      </w:r>
      <w:r w:rsidR="002B312D" w:rsidRPr="00A90FA1">
        <w:rPr>
          <w:rFonts w:ascii="Bookman Old Style" w:eastAsia="Times New Roman" w:hAnsi="Bookman Old Style"/>
          <w:sz w:val="24"/>
          <w:szCs w:val="24"/>
        </w:rPr>
        <w:t>ed</w:t>
      </w:r>
      <w:r w:rsidRPr="00A90FA1">
        <w:rPr>
          <w:rFonts w:ascii="Bookman Old Style" w:eastAsia="Times New Roman" w:hAnsi="Bookman Old Style"/>
          <w:sz w:val="24"/>
          <w:szCs w:val="24"/>
        </w:rPr>
        <w:t xml:space="preserve"> a recognised psychiatric injury if care were not taken</w:t>
      </w:r>
      <w:r w:rsidR="002A2EFA" w:rsidRPr="00A90FA1">
        <w:rPr>
          <w:rFonts w:ascii="Bookman Old Style" w:eastAsia="Times New Roman" w:hAnsi="Bookman Old Style"/>
          <w:sz w:val="24"/>
          <w:szCs w:val="24"/>
        </w:rPr>
        <w:t>, modifying the eggshell scull principle</w:t>
      </w:r>
      <w:r w:rsidR="00875808" w:rsidRPr="00A90FA1">
        <w:rPr>
          <w:rFonts w:ascii="Bookman Old Style" w:eastAsia="Times New Roman" w:hAnsi="Bookman Old Style"/>
          <w:sz w:val="24"/>
          <w:szCs w:val="24"/>
        </w:rPr>
        <w:t xml:space="preserve">.  </w:t>
      </w:r>
      <w:r w:rsidRPr="00A90FA1">
        <w:rPr>
          <w:rFonts w:ascii="Bookman Old Style" w:eastAsia="Times New Roman" w:hAnsi="Bookman Old Style"/>
          <w:sz w:val="24"/>
          <w:szCs w:val="24"/>
        </w:rPr>
        <w:t>Moreover, to obtain any award for economic loss</w:t>
      </w:r>
      <w:r w:rsidR="004C2BDC" w:rsidRPr="00A90FA1">
        <w:rPr>
          <w:rFonts w:ascii="Bookman Old Style" w:eastAsia="Times New Roman" w:hAnsi="Bookman Old Style"/>
          <w:sz w:val="24"/>
          <w:szCs w:val="24"/>
        </w:rPr>
        <w:t xml:space="preserve"> damages</w:t>
      </w:r>
      <w:r w:rsidRPr="00A90FA1">
        <w:rPr>
          <w:rFonts w:ascii="Bookman Old Style" w:eastAsia="Times New Roman" w:hAnsi="Bookman Old Style"/>
          <w:sz w:val="24"/>
          <w:szCs w:val="24"/>
        </w:rPr>
        <w:t xml:space="preserve">, the person themselves </w:t>
      </w:r>
      <w:r w:rsidR="007244F4" w:rsidRPr="00A90FA1">
        <w:rPr>
          <w:rFonts w:ascii="Bookman Old Style" w:eastAsia="Times New Roman" w:hAnsi="Bookman Old Style"/>
          <w:sz w:val="24"/>
          <w:szCs w:val="24"/>
        </w:rPr>
        <w:t>must</w:t>
      </w:r>
      <w:r w:rsidRPr="00A90FA1">
        <w:rPr>
          <w:rFonts w:ascii="Bookman Old Style" w:eastAsia="Times New Roman" w:hAnsi="Bookman Old Style"/>
          <w:sz w:val="24"/>
          <w:szCs w:val="24"/>
        </w:rPr>
        <w:t xml:space="preserve"> have suffered a recognised psychiatric injury. </w:t>
      </w:r>
    </w:p>
    <w:p w14:paraId="45970248" w14:textId="77777777" w:rsidR="002F0317" w:rsidRPr="00A90FA1" w:rsidRDefault="002F0317" w:rsidP="002F0317">
      <w:pPr>
        <w:jc w:val="both"/>
        <w:rPr>
          <w:rFonts w:ascii="Bookman Old Style" w:eastAsia="Times New Roman" w:hAnsi="Bookman Old Style"/>
          <w:sz w:val="24"/>
          <w:szCs w:val="24"/>
        </w:rPr>
      </w:pPr>
    </w:p>
    <w:p w14:paraId="4D3F657D" w14:textId="77777777" w:rsidR="002F0317" w:rsidRPr="00A90FA1" w:rsidRDefault="002F0317" w:rsidP="002F0317">
      <w:pPr>
        <w:jc w:val="both"/>
        <w:rPr>
          <w:rFonts w:ascii="Bookman Old Style" w:eastAsia="Times New Roman" w:hAnsi="Bookman Old Style"/>
          <w:sz w:val="24"/>
          <w:szCs w:val="24"/>
        </w:rPr>
      </w:pPr>
    </w:p>
    <w:p w14:paraId="14254461" w14:textId="642A1A82"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In a wonderful paper by Corinna Lagerberg, </w:t>
      </w:r>
      <w:r w:rsidRPr="00A90FA1">
        <w:rPr>
          <w:rFonts w:ascii="Bookman Old Style" w:eastAsia="Times New Roman" w:hAnsi="Bookman Old Style"/>
          <w:i/>
          <w:iCs/>
          <w:sz w:val="24"/>
          <w:szCs w:val="24"/>
        </w:rPr>
        <w:t>Reassessing the Damage Requirements for Pure Mental Harm Claims under the Wrongs Act</w:t>
      </w:r>
      <w:r w:rsidRPr="00A90FA1">
        <w:rPr>
          <w:rFonts w:ascii="Bookman Old Style" w:eastAsia="Times New Roman" w:hAnsi="Bookman Old Style"/>
          <w:sz w:val="24"/>
          <w:szCs w:val="24"/>
        </w:rPr>
        <w:t xml:space="preserve">, the author points out that the inclusion of </w:t>
      </w:r>
      <w:r w:rsidR="005E2393" w:rsidRPr="00A90FA1">
        <w:rPr>
          <w:rFonts w:ascii="Bookman Old Style" w:eastAsia="Times New Roman" w:hAnsi="Bookman Old Style"/>
          <w:sz w:val="24"/>
          <w:szCs w:val="24"/>
        </w:rPr>
        <w:t>“</w:t>
      </w:r>
      <w:r w:rsidRPr="00A90FA1">
        <w:rPr>
          <w:rFonts w:ascii="Bookman Old Style" w:eastAsia="Times New Roman" w:hAnsi="Bookman Old Style"/>
          <w:sz w:val="24"/>
          <w:szCs w:val="24"/>
        </w:rPr>
        <w:t>recognised psychiatric injury</w:t>
      </w:r>
      <w:r w:rsidR="005E2393" w:rsidRPr="00A90FA1">
        <w:rPr>
          <w:rFonts w:ascii="Bookman Old Style" w:eastAsia="Times New Roman" w:hAnsi="Bookman Old Style"/>
          <w:sz w:val="24"/>
          <w:szCs w:val="24"/>
        </w:rPr>
        <w:t>”</w:t>
      </w:r>
      <w:r w:rsidRPr="00A90FA1">
        <w:rPr>
          <w:rFonts w:ascii="Bookman Old Style" w:eastAsia="Times New Roman" w:hAnsi="Bookman Old Style"/>
          <w:sz w:val="24"/>
          <w:szCs w:val="24"/>
        </w:rPr>
        <w:t xml:space="preserve"> in the </w:t>
      </w:r>
      <w:r w:rsidRPr="00A90FA1">
        <w:rPr>
          <w:rFonts w:ascii="Bookman Old Style" w:eastAsia="Times New Roman" w:hAnsi="Bookman Old Style"/>
          <w:i/>
          <w:iCs/>
          <w:sz w:val="24"/>
          <w:szCs w:val="24"/>
        </w:rPr>
        <w:t>Wrongs Act</w:t>
      </w:r>
      <w:r w:rsidRPr="00A90FA1">
        <w:rPr>
          <w:rFonts w:ascii="Bookman Old Style" w:eastAsia="Times New Roman" w:hAnsi="Bookman Old Style"/>
          <w:sz w:val="24"/>
          <w:szCs w:val="24"/>
        </w:rPr>
        <w:t xml:space="preserve"> was not based on great learnings</w:t>
      </w:r>
      <w:r w:rsidR="00875808" w:rsidRPr="00A90FA1">
        <w:rPr>
          <w:rFonts w:ascii="Bookman Old Style" w:eastAsia="Times New Roman" w:hAnsi="Bookman Old Style"/>
          <w:sz w:val="24"/>
          <w:szCs w:val="24"/>
        </w:rPr>
        <w:t xml:space="preserve"> and statistical </w:t>
      </w:r>
      <w:r w:rsidR="000F1922" w:rsidRPr="00A90FA1">
        <w:rPr>
          <w:rFonts w:ascii="Bookman Old Style" w:eastAsia="Times New Roman" w:hAnsi="Bookman Old Style"/>
          <w:sz w:val="24"/>
          <w:szCs w:val="24"/>
        </w:rPr>
        <w:t>analysis</w:t>
      </w:r>
      <w:r w:rsidRPr="00A90FA1">
        <w:rPr>
          <w:rFonts w:ascii="Bookman Old Style" w:eastAsia="Times New Roman" w:hAnsi="Bookman Old Style"/>
          <w:sz w:val="24"/>
          <w:szCs w:val="24"/>
        </w:rPr>
        <w:t>, but on the intuition of the Ipp Panel about ways to deal with its concern for opening floodgates</w:t>
      </w:r>
      <w:r w:rsidR="00140BAC" w:rsidRPr="00A90FA1">
        <w:rPr>
          <w:rFonts w:ascii="Bookman Old Style" w:eastAsia="Times New Roman" w:hAnsi="Bookman Old Style"/>
          <w:sz w:val="24"/>
          <w:szCs w:val="24"/>
        </w:rPr>
        <w:t>.  It also took</w:t>
      </w:r>
      <w:r w:rsidR="00753C0B" w:rsidRPr="00A90FA1">
        <w:rPr>
          <w:rFonts w:ascii="Bookman Old Style" w:eastAsia="Times New Roman" w:hAnsi="Bookman Old Style"/>
          <w:sz w:val="24"/>
          <w:szCs w:val="24"/>
        </w:rPr>
        <w:t xml:space="preserve"> from </w:t>
      </w:r>
      <w:r w:rsidRPr="00A90FA1">
        <w:rPr>
          <w:rFonts w:ascii="Bookman Old Style" w:eastAsia="Times New Roman" w:hAnsi="Bookman Old Style"/>
          <w:sz w:val="24"/>
          <w:szCs w:val="24"/>
        </w:rPr>
        <w:t>a</w:t>
      </w:r>
      <w:r w:rsidR="00840611" w:rsidRPr="00A90FA1">
        <w:rPr>
          <w:rFonts w:ascii="Bookman Old Style" w:eastAsia="Times New Roman" w:hAnsi="Bookman Old Style"/>
          <w:sz w:val="24"/>
          <w:szCs w:val="24"/>
        </w:rPr>
        <w:t xml:space="preserve">n old </w:t>
      </w:r>
      <w:r w:rsidRPr="00A90FA1">
        <w:rPr>
          <w:rFonts w:ascii="Bookman Old Style" w:eastAsia="Times New Roman" w:hAnsi="Bookman Old Style"/>
          <w:sz w:val="24"/>
          <w:szCs w:val="24"/>
        </w:rPr>
        <w:t xml:space="preserve">House of Lords </w:t>
      </w:r>
      <w:r w:rsidR="00840611" w:rsidRPr="00A90FA1">
        <w:rPr>
          <w:rFonts w:ascii="Bookman Old Style" w:eastAsia="Times New Roman" w:hAnsi="Bookman Old Style"/>
          <w:sz w:val="24"/>
          <w:szCs w:val="24"/>
        </w:rPr>
        <w:t xml:space="preserve">case </w:t>
      </w:r>
      <w:r w:rsidR="00753C0B" w:rsidRPr="00A90FA1">
        <w:rPr>
          <w:rFonts w:ascii="Bookman Old Style" w:eastAsia="Times New Roman" w:hAnsi="Bookman Old Style"/>
          <w:sz w:val="24"/>
          <w:szCs w:val="24"/>
        </w:rPr>
        <w:t>of</w:t>
      </w:r>
      <w:r w:rsidRPr="00A90FA1">
        <w:rPr>
          <w:rFonts w:ascii="Bookman Old Style" w:eastAsia="Times New Roman" w:hAnsi="Bookman Old Style"/>
          <w:sz w:val="24"/>
          <w:szCs w:val="24"/>
        </w:rPr>
        <w:t xml:space="preserve"> </w:t>
      </w:r>
      <w:r w:rsidRPr="00A90FA1">
        <w:rPr>
          <w:rFonts w:ascii="Bookman Old Style" w:eastAsia="Times New Roman" w:hAnsi="Bookman Old Style"/>
          <w:i/>
          <w:iCs/>
          <w:sz w:val="24"/>
          <w:szCs w:val="24"/>
        </w:rPr>
        <w:t>Hinz v Berry</w:t>
      </w:r>
      <w:r w:rsidRPr="00A90FA1">
        <w:rPr>
          <w:rFonts w:ascii="Bookman Old Style" w:eastAsia="Times New Roman" w:hAnsi="Bookman Old Style"/>
          <w:sz w:val="24"/>
          <w:szCs w:val="24"/>
        </w:rPr>
        <w:t xml:space="preserve"> [1970] 2 QB 40, </w:t>
      </w:r>
      <w:r w:rsidR="007D5F54" w:rsidRPr="00A90FA1">
        <w:rPr>
          <w:rFonts w:ascii="Bookman Old Style" w:eastAsia="Times New Roman" w:hAnsi="Bookman Old Style"/>
          <w:sz w:val="24"/>
          <w:szCs w:val="24"/>
        </w:rPr>
        <w:t xml:space="preserve">think “it was bluebell time in </w:t>
      </w:r>
      <w:r w:rsidR="00840611" w:rsidRPr="00A90FA1">
        <w:rPr>
          <w:rFonts w:ascii="Bookman Old Style" w:eastAsia="Times New Roman" w:hAnsi="Bookman Old Style"/>
          <w:sz w:val="24"/>
          <w:szCs w:val="24"/>
        </w:rPr>
        <w:t>K</w:t>
      </w:r>
      <w:r w:rsidR="007D5F54" w:rsidRPr="00A90FA1">
        <w:rPr>
          <w:rFonts w:ascii="Bookman Old Style" w:eastAsia="Times New Roman" w:hAnsi="Bookman Old Style"/>
          <w:sz w:val="24"/>
          <w:szCs w:val="24"/>
        </w:rPr>
        <w:t>ent”</w:t>
      </w:r>
      <w:r w:rsidR="00140BAC" w:rsidRPr="00A90FA1">
        <w:rPr>
          <w:rFonts w:ascii="Bookman Old Style" w:eastAsia="Times New Roman" w:hAnsi="Bookman Old Style"/>
          <w:sz w:val="24"/>
          <w:szCs w:val="24"/>
        </w:rPr>
        <w:t>, on the same issue</w:t>
      </w:r>
      <w:r w:rsidR="00840611" w:rsidRPr="00A90FA1">
        <w:rPr>
          <w:rFonts w:ascii="Bookman Old Style" w:eastAsia="Times New Roman" w:hAnsi="Bookman Old Style"/>
          <w:sz w:val="24"/>
          <w:szCs w:val="24"/>
        </w:rPr>
        <w:t xml:space="preserve">.  </w:t>
      </w:r>
      <w:r w:rsidR="00840611" w:rsidRPr="00A90FA1">
        <w:rPr>
          <w:rFonts w:ascii="Bookman Old Style" w:eastAsia="Times New Roman" w:hAnsi="Bookman Old Style"/>
          <w:i/>
          <w:iCs/>
          <w:sz w:val="24"/>
          <w:szCs w:val="24"/>
        </w:rPr>
        <w:t>Hinz</w:t>
      </w:r>
      <w:r w:rsidRPr="00A90FA1">
        <w:rPr>
          <w:rFonts w:ascii="Bookman Old Style" w:eastAsia="Times New Roman" w:hAnsi="Bookman Old Style"/>
          <w:sz w:val="24"/>
          <w:szCs w:val="24"/>
        </w:rPr>
        <w:t xml:space="preserve"> referred to a “recognisable” psychiatric injury requirement for nervous shock claims</w:t>
      </w:r>
      <w:r w:rsidR="007D5F54" w:rsidRPr="00A90FA1">
        <w:rPr>
          <w:rFonts w:ascii="Bookman Old Style" w:eastAsia="Times New Roman" w:hAnsi="Bookman Old Style"/>
          <w:sz w:val="24"/>
          <w:szCs w:val="24"/>
        </w:rPr>
        <w:t xml:space="preserve">, mere grief reaction </w:t>
      </w:r>
      <w:r w:rsidR="004C0E6E" w:rsidRPr="00A90FA1">
        <w:rPr>
          <w:rFonts w:ascii="Bookman Old Style" w:eastAsia="Times New Roman" w:hAnsi="Bookman Old Style"/>
          <w:sz w:val="24"/>
          <w:szCs w:val="24"/>
        </w:rPr>
        <w:t>not being enough</w:t>
      </w:r>
      <w:r w:rsidR="005D7814" w:rsidRPr="00A90FA1">
        <w:rPr>
          <w:rFonts w:ascii="Bookman Old Style" w:eastAsia="Times New Roman" w:hAnsi="Bookman Old Style"/>
          <w:sz w:val="24"/>
          <w:szCs w:val="24"/>
        </w:rPr>
        <w:t xml:space="preserve"> to establish nervous shock</w:t>
      </w:r>
      <w:r w:rsidRPr="00A90FA1">
        <w:rPr>
          <w:rFonts w:ascii="Bookman Old Style" w:eastAsia="Times New Roman" w:hAnsi="Bookman Old Style"/>
          <w:sz w:val="24"/>
          <w:szCs w:val="24"/>
        </w:rPr>
        <w:t xml:space="preserve">. </w:t>
      </w:r>
      <w:r w:rsidR="00BA5E61" w:rsidRPr="00A90FA1">
        <w:rPr>
          <w:rFonts w:ascii="Bookman Old Style" w:eastAsia="Times New Roman" w:hAnsi="Bookman Old Style"/>
          <w:sz w:val="24"/>
          <w:szCs w:val="24"/>
        </w:rPr>
        <w:t xml:space="preserve"> The fight seems silly </w:t>
      </w:r>
      <w:r w:rsidR="009D1437" w:rsidRPr="00A90FA1">
        <w:rPr>
          <w:rFonts w:ascii="Bookman Old Style" w:eastAsia="Times New Roman" w:hAnsi="Bookman Old Style"/>
          <w:sz w:val="24"/>
          <w:szCs w:val="24"/>
        </w:rPr>
        <w:t>50 odd years hence</w:t>
      </w:r>
      <w:r w:rsidR="00BA5E61" w:rsidRPr="00A90FA1">
        <w:rPr>
          <w:rFonts w:ascii="Bookman Old Style" w:eastAsia="Times New Roman" w:hAnsi="Bookman Old Style"/>
          <w:sz w:val="24"/>
          <w:szCs w:val="24"/>
        </w:rPr>
        <w:t xml:space="preserve">, </w:t>
      </w:r>
      <w:r w:rsidR="00052CA2" w:rsidRPr="00A90FA1">
        <w:rPr>
          <w:rFonts w:ascii="Bookman Old Style" w:eastAsia="Times New Roman" w:hAnsi="Bookman Old Style"/>
          <w:sz w:val="24"/>
          <w:szCs w:val="24"/>
        </w:rPr>
        <w:t>as the facts involved</w:t>
      </w:r>
      <w:r w:rsidR="00BA5E61" w:rsidRPr="00A90FA1">
        <w:rPr>
          <w:rFonts w:ascii="Bookman Old Style" w:eastAsia="Times New Roman" w:hAnsi="Bookman Old Style"/>
          <w:sz w:val="24"/>
          <w:szCs w:val="24"/>
        </w:rPr>
        <w:t xml:space="preserve"> a </w:t>
      </w:r>
      <w:r w:rsidR="00052CA2" w:rsidRPr="00A90FA1">
        <w:rPr>
          <w:rFonts w:ascii="Bookman Old Style" w:eastAsia="Times New Roman" w:hAnsi="Bookman Old Style"/>
          <w:sz w:val="24"/>
          <w:szCs w:val="24"/>
        </w:rPr>
        <w:t>woman who</w:t>
      </w:r>
      <w:r w:rsidR="00BA5E61" w:rsidRPr="00A90FA1">
        <w:rPr>
          <w:rFonts w:ascii="Bookman Old Style" w:eastAsia="Times New Roman" w:hAnsi="Bookman Old Style"/>
          <w:sz w:val="24"/>
          <w:szCs w:val="24"/>
        </w:rPr>
        <w:t xml:space="preserve"> </w:t>
      </w:r>
      <w:r w:rsidR="005D7814" w:rsidRPr="00A90FA1">
        <w:rPr>
          <w:rFonts w:ascii="Bookman Old Style" w:eastAsia="Times New Roman" w:hAnsi="Bookman Old Style"/>
          <w:sz w:val="24"/>
          <w:szCs w:val="24"/>
        </w:rPr>
        <w:t>witnessed</w:t>
      </w:r>
      <w:r w:rsidR="00BA5E61" w:rsidRPr="00A90FA1">
        <w:rPr>
          <w:rFonts w:ascii="Bookman Old Style" w:eastAsia="Times New Roman" w:hAnsi="Bookman Old Style"/>
          <w:sz w:val="24"/>
          <w:szCs w:val="24"/>
        </w:rPr>
        <w:t xml:space="preserve"> a </w:t>
      </w:r>
      <w:r w:rsidR="005D7814" w:rsidRPr="00A90FA1">
        <w:rPr>
          <w:rFonts w:ascii="Bookman Old Style" w:eastAsia="Times New Roman" w:hAnsi="Bookman Old Style"/>
          <w:sz w:val="24"/>
          <w:szCs w:val="24"/>
        </w:rPr>
        <w:t>car run into</w:t>
      </w:r>
      <w:r w:rsidR="00BA5E61" w:rsidRPr="00A90FA1">
        <w:rPr>
          <w:rFonts w:ascii="Bookman Old Style" w:eastAsia="Times New Roman" w:hAnsi="Bookman Old Style"/>
          <w:sz w:val="24"/>
          <w:szCs w:val="24"/>
        </w:rPr>
        <w:t xml:space="preserve"> her husband</w:t>
      </w:r>
      <w:r w:rsidR="005D7814" w:rsidRPr="00A90FA1">
        <w:rPr>
          <w:rFonts w:ascii="Bookman Old Style" w:eastAsia="Times New Roman" w:hAnsi="Bookman Old Style"/>
          <w:sz w:val="24"/>
          <w:szCs w:val="24"/>
        </w:rPr>
        <w:t>, who</w:t>
      </w:r>
      <w:r w:rsidR="00BA5E61" w:rsidRPr="00A90FA1">
        <w:rPr>
          <w:rFonts w:ascii="Bookman Old Style" w:eastAsia="Times New Roman" w:hAnsi="Bookman Old Style"/>
          <w:sz w:val="24"/>
          <w:szCs w:val="24"/>
        </w:rPr>
        <w:t xml:space="preserve"> lay dying</w:t>
      </w:r>
      <w:r w:rsidR="005D7814" w:rsidRPr="00A90FA1">
        <w:rPr>
          <w:rFonts w:ascii="Bookman Old Style" w:eastAsia="Times New Roman" w:hAnsi="Bookman Old Style"/>
          <w:sz w:val="24"/>
          <w:szCs w:val="24"/>
        </w:rPr>
        <w:t>,</w:t>
      </w:r>
      <w:r w:rsidR="00BA5E61" w:rsidRPr="00A90FA1">
        <w:rPr>
          <w:rFonts w:ascii="Bookman Old Style" w:eastAsia="Times New Roman" w:hAnsi="Bookman Old Style"/>
          <w:sz w:val="24"/>
          <w:szCs w:val="24"/>
        </w:rPr>
        <w:t xml:space="preserve"> and </w:t>
      </w:r>
      <w:r w:rsidR="00142727" w:rsidRPr="00A90FA1">
        <w:rPr>
          <w:rFonts w:ascii="Bookman Old Style" w:eastAsia="Times New Roman" w:hAnsi="Bookman Old Style"/>
          <w:sz w:val="24"/>
          <w:szCs w:val="24"/>
        </w:rPr>
        <w:t xml:space="preserve">many of </w:t>
      </w:r>
      <w:r w:rsidR="00BA5E61" w:rsidRPr="00A90FA1">
        <w:rPr>
          <w:rFonts w:ascii="Bookman Old Style" w:eastAsia="Times New Roman" w:hAnsi="Bookman Old Style"/>
          <w:sz w:val="24"/>
          <w:szCs w:val="24"/>
        </w:rPr>
        <w:t>her</w:t>
      </w:r>
      <w:r w:rsidR="00142727" w:rsidRPr="00A90FA1">
        <w:rPr>
          <w:rFonts w:ascii="Bookman Old Style" w:eastAsia="Times New Roman" w:hAnsi="Bookman Old Style"/>
          <w:sz w:val="24"/>
          <w:szCs w:val="24"/>
        </w:rPr>
        <w:t xml:space="preserve"> eight</w:t>
      </w:r>
      <w:r w:rsidR="00BA5E61" w:rsidRPr="00A90FA1">
        <w:rPr>
          <w:rFonts w:ascii="Bookman Old Style" w:eastAsia="Times New Roman" w:hAnsi="Bookman Old Style"/>
          <w:sz w:val="24"/>
          <w:szCs w:val="24"/>
        </w:rPr>
        <w:t xml:space="preserve"> children</w:t>
      </w:r>
      <w:r w:rsidR="005D7814" w:rsidRPr="00A90FA1">
        <w:rPr>
          <w:rFonts w:ascii="Bookman Old Style" w:eastAsia="Times New Roman" w:hAnsi="Bookman Old Style"/>
          <w:sz w:val="24"/>
          <w:szCs w:val="24"/>
        </w:rPr>
        <w:t>, who</w:t>
      </w:r>
      <w:r w:rsidR="00BA5E61" w:rsidRPr="00A90FA1">
        <w:rPr>
          <w:rFonts w:ascii="Bookman Old Style" w:eastAsia="Times New Roman" w:hAnsi="Bookman Old Style"/>
          <w:sz w:val="24"/>
          <w:szCs w:val="24"/>
        </w:rPr>
        <w:t xml:space="preserve"> were strewn </w:t>
      </w:r>
      <w:r w:rsidR="00142727" w:rsidRPr="00A90FA1">
        <w:rPr>
          <w:rFonts w:ascii="Bookman Old Style" w:eastAsia="Times New Roman" w:hAnsi="Bookman Old Style"/>
          <w:sz w:val="24"/>
          <w:szCs w:val="24"/>
        </w:rPr>
        <w:t xml:space="preserve">about the road. </w:t>
      </w:r>
    </w:p>
    <w:p w14:paraId="74BCFA27" w14:textId="77777777" w:rsidR="002F0317" w:rsidRPr="00A90FA1" w:rsidRDefault="002F0317" w:rsidP="002F0317">
      <w:pPr>
        <w:jc w:val="both"/>
        <w:rPr>
          <w:rFonts w:ascii="Bookman Old Style" w:eastAsia="Times New Roman" w:hAnsi="Bookman Old Style"/>
          <w:sz w:val="24"/>
          <w:szCs w:val="24"/>
        </w:rPr>
      </w:pPr>
    </w:p>
    <w:p w14:paraId="10D59DDC" w14:textId="77777777" w:rsidR="002F0317" w:rsidRPr="00A90FA1" w:rsidRDefault="002F0317" w:rsidP="002F0317">
      <w:pPr>
        <w:jc w:val="both"/>
        <w:rPr>
          <w:rFonts w:ascii="Bookman Old Style" w:eastAsia="Times New Roman" w:hAnsi="Bookman Old Style"/>
          <w:sz w:val="24"/>
          <w:szCs w:val="24"/>
        </w:rPr>
      </w:pPr>
    </w:p>
    <w:p w14:paraId="6E15C5C7" w14:textId="1A46FE2F"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The author contrasts </w:t>
      </w:r>
      <w:r w:rsidR="00BD0F10" w:rsidRPr="00A90FA1">
        <w:rPr>
          <w:rFonts w:ascii="Bookman Old Style" w:eastAsia="Times New Roman" w:hAnsi="Bookman Old Style"/>
          <w:sz w:val="24"/>
          <w:szCs w:val="24"/>
        </w:rPr>
        <w:t>Victoria’s position</w:t>
      </w:r>
      <w:r w:rsidRPr="00A90FA1">
        <w:rPr>
          <w:rFonts w:ascii="Bookman Old Style" w:eastAsia="Times New Roman" w:hAnsi="Bookman Old Style"/>
          <w:sz w:val="24"/>
          <w:szCs w:val="24"/>
        </w:rPr>
        <w:t xml:space="preserve"> to</w:t>
      </w:r>
      <w:r w:rsidR="0082515F" w:rsidRPr="00A90FA1">
        <w:rPr>
          <w:rFonts w:ascii="Bookman Old Style" w:eastAsia="Times New Roman" w:hAnsi="Bookman Old Style"/>
          <w:sz w:val="24"/>
          <w:szCs w:val="24"/>
        </w:rPr>
        <w:t xml:space="preserve"> Canada’s</w:t>
      </w:r>
      <w:r w:rsidRPr="00A90FA1">
        <w:rPr>
          <w:rFonts w:ascii="Bookman Old Style" w:eastAsia="Times New Roman" w:hAnsi="Bookman Old Style"/>
          <w:sz w:val="24"/>
          <w:szCs w:val="24"/>
        </w:rPr>
        <w:t xml:space="preserve">, </w:t>
      </w:r>
      <w:r w:rsidR="002B6474" w:rsidRPr="00A90FA1">
        <w:rPr>
          <w:rFonts w:ascii="Bookman Old Style" w:eastAsia="Times New Roman" w:hAnsi="Bookman Old Style"/>
          <w:sz w:val="24"/>
          <w:szCs w:val="24"/>
        </w:rPr>
        <w:t xml:space="preserve">citing </w:t>
      </w:r>
      <w:r w:rsidRPr="00A90FA1">
        <w:rPr>
          <w:rFonts w:ascii="Bookman Old Style" w:eastAsia="Times New Roman" w:hAnsi="Bookman Old Style"/>
          <w:i/>
          <w:iCs/>
          <w:sz w:val="24"/>
          <w:szCs w:val="24"/>
        </w:rPr>
        <w:t>Saadati v Moorhead</w:t>
      </w:r>
      <w:r w:rsidRPr="00A90FA1">
        <w:rPr>
          <w:rFonts w:ascii="Bookman Old Style" w:eastAsia="Times New Roman" w:hAnsi="Bookman Old Style"/>
          <w:sz w:val="24"/>
          <w:szCs w:val="24"/>
        </w:rPr>
        <w:t xml:space="preserve"> [2017] 1 SCR 543, which has now removed this threshold and focussed instead on “disturbance that is ‘serious and prolonged and rise[s] above the ordinary annoyances, anxieties and fears’ experienced by all members of society”</w:t>
      </w:r>
      <w:r w:rsidR="002B6474" w:rsidRPr="00A90FA1">
        <w:rPr>
          <w:rFonts w:ascii="Bookman Old Style" w:eastAsia="Times New Roman" w:hAnsi="Bookman Old Style"/>
          <w:sz w:val="24"/>
          <w:szCs w:val="24"/>
        </w:rPr>
        <w:t>.</w:t>
      </w:r>
      <w:r w:rsidRPr="00A90FA1">
        <w:rPr>
          <w:rFonts w:ascii="Bookman Old Style" w:eastAsia="Times New Roman" w:hAnsi="Bookman Old Style"/>
          <w:sz w:val="24"/>
          <w:szCs w:val="24"/>
        </w:rPr>
        <w:t xml:space="preserve"> </w:t>
      </w:r>
      <w:r w:rsidR="002B6474" w:rsidRPr="00A90FA1">
        <w:rPr>
          <w:rFonts w:ascii="Bookman Old Style" w:eastAsia="Times New Roman" w:hAnsi="Bookman Old Style"/>
          <w:sz w:val="24"/>
          <w:szCs w:val="24"/>
        </w:rPr>
        <w:t xml:space="preserve"> This is now </w:t>
      </w:r>
      <w:r w:rsidR="00536687" w:rsidRPr="00A90FA1">
        <w:rPr>
          <w:rFonts w:ascii="Bookman Old Style" w:eastAsia="Times New Roman" w:hAnsi="Bookman Old Style"/>
          <w:sz w:val="24"/>
          <w:szCs w:val="24"/>
        </w:rPr>
        <w:t>Canada’s</w:t>
      </w:r>
      <w:r w:rsidR="002B6474" w:rsidRPr="00A90FA1">
        <w:rPr>
          <w:rFonts w:ascii="Bookman Old Style" w:eastAsia="Times New Roman" w:hAnsi="Bookman Old Style"/>
          <w:sz w:val="24"/>
          <w:szCs w:val="24"/>
        </w:rPr>
        <w:t xml:space="preserve"> means of</w:t>
      </w:r>
      <w:r w:rsidRPr="00A90FA1">
        <w:rPr>
          <w:rFonts w:ascii="Bookman Old Style" w:eastAsia="Times New Roman" w:hAnsi="Bookman Old Style"/>
          <w:sz w:val="24"/>
          <w:szCs w:val="24"/>
        </w:rPr>
        <w:t xml:space="preserve"> assessing an entitlement to damages for nervous shock. </w:t>
      </w:r>
      <w:r w:rsidR="00210641" w:rsidRPr="00A90FA1">
        <w:rPr>
          <w:rFonts w:ascii="Bookman Old Style" w:eastAsia="Times New Roman" w:hAnsi="Bookman Old Style"/>
          <w:sz w:val="24"/>
          <w:szCs w:val="24"/>
        </w:rPr>
        <w:t>In other words, t</w:t>
      </w:r>
      <w:r w:rsidRPr="00A90FA1">
        <w:rPr>
          <w:rFonts w:ascii="Bookman Old Style" w:eastAsia="Times New Roman" w:hAnsi="Bookman Old Style"/>
          <w:sz w:val="24"/>
          <w:szCs w:val="24"/>
        </w:rPr>
        <w:t xml:space="preserve">he Court focussed on </w:t>
      </w:r>
      <w:r w:rsidRPr="00A90FA1">
        <w:rPr>
          <w:rFonts w:ascii="Bookman Old Style" w:eastAsia="Times New Roman" w:hAnsi="Bookman Old Style"/>
          <w:sz w:val="24"/>
          <w:szCs w:val="24"/>
        </w:rPr>
        <w:lastRenderedPageBreak/>
        <w:t>consequences of injury</w:t>
      </w:r>
      <w:r w:rsidR="00536687" w:rsidRPr="00A90FA1">
        <w:rPr>
          <w:rFonts w:ascii="Bookman Old Style" w:eastAsia="Times New Roman" w:hAnsi="Bookman Old Style"/>
          <w:sz w:val="24"/>
          <w:szCs w:val="24"/>
        </w:rPr>
        <w:t xml:space="preserve"> to the plaintiff</w:t>
      </w:r>
      <w:r w:rsidR="00210641" w:rsidRPr="00A90FA1">
        <w:rPr>
          <w:rFonts w:ascii="Bookman Old Style" w:eastAsia="Times New Roman" w:hAnsi="Bookman Old Style"/>
          <w:sz w:val="24"/>
          <w:szCs w:val="24"/>
        </w:rPr>
        <w:t>,</w:t>
      </w:r>
      <w:r w:rsidRPr="00A90FA1">
        <w:rPr>
          <w:rFonts w:ascii="Bookman Old Style" w:eastAsia="Times New Roman" w:hAnsi="Bookman Old Style"/>
          <w:sz w:val="24"/>
          <w:szCs w:val="24"/>
        </w:rPr>
        <w:t xml:space="preserve"> rather than medical diagnoses for </w:t>
      </w:r>
      <w:r w:rsidR="00536687" w:rsidRPr="00A90FA1">
        <w:rPr>
          <w:rFonts w:ascii="Bookman Old Style" w:eastAsia="Times New Roman" w:hAnsi="Bookman Old Style"/>
          <w:sz w:val="24"/>
          <w:szCs w:val="24"/>
        </w:rPr>
        <w:t>those injuries</w:t>
      </w:r>
      <w:r w:rsidR="00794E5A" w:rsidRPr="00A90FA1">
        <w:rPr>
          <w:rFonts w:ascii="Bookman Old Style" w:eastAsia="Times New Roman" w:hAnsi="Bookman Old Style"/>
          <w:sz w:val="24"/>
          <w:szCs w:val="24"/>
        </w:rPr>
        <w:t>, taking a ‘we are lawyers, not doctors’ approach.</w:t>
      </w:r>
      <w:r w:rsidRPr="00A90FA1">
        <w:rPr>
          <w:rFonts w:ascii="Bookman Old Style" w:eastAsia="Times New Roman" w:hAnsi="Bookman Old Style"/>
          <w:sz w:val="24"/>
          <w:szCs w:val="24"/>
        </w:rPr>
        <w:t xml:space="preserve"> </w:t>
      </w:r>
    </w:p>
    <w:p w14:paraId="545160B9" w14:textId="77777777" w:rsidR="002F0317" w:rsidRPr="00A90FA1" w:rsidRDefault="002F0317" w:rsidP="002F0317">
      <w:pPr>
        <w:jc w:val="both"/>
        <w:rPr>
          <w:rFonts w:ascii="Bookman Old Style" w:eastAsia="Times New Roman" w:hAnsi="Bookman Old Style"/>
          <w:sz w:val="24"/>
          <w:szCs w:val="24"/>
        </w:rPr>
      </w:pPr>
    </w:p>
    <w:p w14:paraId="50F87598" w14:textId="77777777" w:rsidR="002F0317" w:rsidRPr="00A90FA1" w:rsidRDefault="002F0317" w:rsidP="002F0317">
      <w:pPr>
        <w:jc w:val="both"/>
        <w:rPr>
          <w:rFonts w:ascii="Bookman Old Style" w:eastAsia="Times New Roman" w:hAnsi="Bookman Old Style"/>
          <w:sz w:val="24"/>
          <w:szCs w:val="24"/>
        </w:rPr>
      </w:pPr>
    </w:p>
    <w:p w14:paraId="66C420A2" w14:textId="6322612F"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If a more minor physical injury is compensable, why not a more minor mental disturbance</w:t>
      </w:r>
      <w:r w:rsidR="00CC0F3C" w:rsidRPr="00A90FA1">
        <w:rPr>
          <w:rFonts w:ascii="Bookman Old Style" w:eastAsia="Times New Roman" w:hAnsi="Bookman Old Style"/>
          <w:sz w:val="24"/>
          <w:szCs w:val="24"/>
        </w:rPr>
        <w:t xml:space="preserve"> in the absence of a recognised psychiatric injury</w:t>
      </w:r>
      <w:r w:rsidRPr="00A90FA1">
        <w:rPr>
          <w:rFonts w:ascii="Bookman Old Style" w:eastAsia="Times New Roman" w:hAnsi="Bookman Old Style"/>
          <w:sz w:val="24"/>
          <w:szCs w:val="24"/>
        </w:rPr>
        <w:t xml:space="preserve">? Should they not be </w:t>
      </w:r>
      <w:r w:rsidR="00A33BF0" w:rsidRPr="00A90FA1">
        <w:rPr>
          <w:rFonts w:ascii="Bookman Old Style" w:eastAsia="Times New Roman" w:hAnsi="Bookman Old Style"/>
          <w:sz w:val="24"/>
          <w:szCs w:val="24"/>
        </w:rPr>
        <w:t>treated</w:t>
      </w:r>
      <w:r w:rsidRPr="00A90FA1">
        <w:rPr>
          <w:rFonts w:ascii="Bookman Old Style" w:eastAsia="Times New Roman" w:hAnsi="Bookman Old Style"/>
          <w:sz w:val="24"/>
          <w:szCs w:val="24"/>
        </w:rPr>
        <w:t xml:space="preserve"> the same when assessing reasonable conduct of one’s neighbours?  </w:t>
      </w:r>
    </w:p>
    <w:p w14:paraId="0D24CD95" w14:textId="77777777" w:rsidR="002F0317" w:rsidRPr="00A90FA1" w:rsidRDefault="002F0317" w:rsidP="002F0317">
      <w:pPr>
        <w:jc w:val="both"/>
        <w:rPr>
          <w:rFonts w:ascii="Bookman Old Style" w:eastAsia="Times New Roman" w:hAnsi="Bookman Old Style"/>
          <w:sz w:val="24"/>
          <w:szCs w:val="24"/>
        </w:rPr>
      </w:pPr>
    </w:p>
    <w:p w14:paraId="57EF81BA" w14:textId="77777777" w:rsidR="002F0317" w:rsidRPr="00A90FA1" w:rsidRDefault="002F0317" w:rsidP="002F0317">
      <w:pPr>
        <w:jc w:val="both"/>
        <w:rPr>
          <w:rFonts w:ascii="Bookman Old Style" w:eastAsia="Times New Roman" w:hAnsi="Bookman Old Style"/>
          <w:sz w:val="24"/>
          <w:szCs w:val="24"/>
        </w:rPr>
      </w:pPr>
    </w:p>
    <w:p w14:paraId="1A50AA0B" w14:textId="77777777" w:rsidR="002F0317" w:rsidRPr="00A90FA1" w:rsidRDefault="002F0317" w:rsidP="002F0317">
      <w:pPr>
        <w:jc w:val="both"/>
        <w:rPr>
          <w:rFonts w:ascii="Bookman Old Style" w:eastAsia="Times New Roman" w:hAnsi="Bookman Old Style"/>
          <w:b/>
          <w:bCs/>
          <w:sz w:val="24"/>
          <w:szCs w:val="24"/>
        </w:rPr>
      </w:pPr>
      <w:r w:rsidRPr="00A90FA1">
        <w:rPr>
          <w:rFonts w:ascii="Bookman Old Style" w:eastAsia="Times New Roman" w:hAnsi="Bookman Old Style"/>
          <w:b/>
          <w:bCs/>
          <w:sz w:val="24"/>
          <w:szCs w:val="24"/>
        </w:rPr>
        <w:t xml:space="preserve">Nervous shock claims of family members </w:t>
      </w:r>
    </w:p>
    <w:p w14:paraId="239829EF" w14:textId="77777777" w:rsidR="002F0317" w:rsidRPr="00A90FA1" w:rsidRDefault="002F0317" w:rsidP="002F0317">
      <w:pPr>
        <w:jc w:val="both"/>
        <w:rPr>
          <w:rFonts w:ascii="Bookman Old Style" w:eastAsia="Times New Roman" w:hAnsi="Bookman Old Style"/>
          <w:sz w:val="24"/>
          <w:szCs w:val="24"/>
        </w:rPr>
      </w:pPr>
    </w:p>
    <w:p w14:paraId="1F8D89AC" w14:textId="77777777" w:rsidR="002F0317" w:rsidRPr="00A90FA1" w:rsidRDefault="002F0317" w:rsidP="002F0317">
      <w:pPr>
        <w:jc w:val="both"/>
        <w:rPr>
          <w:rFonts w:ascii="Bookman Old Style" w:eastAsia="Times New Roman" w:hAnsi="Bookman Old Style"/>
          <w:sz w:val="24"/>
          <w:szCs w:val="24"/>
        </w:rPr>
      </w:pPr>
    </w:p>
    <w:p w14:paraId="13E748C7" w14:textId="0EF9D305"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Another area sometimes overlooked is the mental injuries sustained by family members </w:t>
      </w:r>
      <w:r w:rsidR="00B96301" w:rsidRPr="00A90FA1">
        <w:rPr>
          <w:rFonts w:ascii="Bookman Old Style" w:eastAsia="Times New Roman" w:hAnsi="Bookman Old Style"/>
          <w:sz w:val="24"/>
          <w:szCs w:val="24"/>
        </w:rPr>
        <w:t xml:space="preserve">of primary victims </w:t>
      </w:r>
      <w:r w:rsidRPr="00A90FA1">
        <w:rPr>
          <w:rFonts w:ascii="Bookman Old Style" w:eastAsia="Times New Roman" w:hAnsi="Bookman Old Style"/>
          <w:sz w:val="24"/>
          <w:szCs w:val="24"/>
        </w:rPr>
        <w:t xml:space="preserve">who have suffered severe injury. </w:t>
      </w:r>
      <w:r w:rsidR="00210641" w:rsidRPr="00A90FA1">
        <w:rPr>
          <w:rFonts w:ascii="Bookman Old Style" w:eastAsia="Times New Roman" w:hAnsi="Bookman Old Style"/>
          <w:sz w:val="24"/>
          <w:szCs w:val="24"/>
        </w:rPr>
        <w:t xml:space="preserve"> Such people are often referred to as “secondary victims”. </w:t>
      </w:r>
    </w:p>
    <w:p w14:paraId="2ADFC419" w14:textId="77777777" w:rsidR="002F0317" w:rsidRPr="00A90FA1" w:rsidRDefault="002F0317" w:rsidP="002F0317">
      <w:pPr>
        <w:jc w:val="both"/>
        <w:rPr>
          <w:rFonts w:ascii="Bookman Old Style" w:eastAsia="Times New Roman" w:hAnsi="Bookman Old Style"/>
          <w:sz w:val="24"/>
          <w:szCs w:val="24"/>
        </w:rPr>
      </w:pPr>
    </w:p>
    <w:p w14:paraId="6572C9B2" w14:textId="77777777" w:rsidR="002F0317" w:rsidRPr="00A90FA1" w:rsidRDefault="002F0317" w:rsidP="002F0317">
      <w:pPr>
        <w:jc w:val="both"/>
        <w:rPr>
          <w:rFonts w:ascii="Bookman Old Style" w:eastAsia="Times New Roman" w:hAnsi="Bookman Old Style"/>
          <w:sz w:val="24"/>
          <w:szCs w:val="24"/>
        </w:rPr>
      </w:pPr>
    </w:p>
    <w:p w14:paraId="7FB0B0F7" w14:textId="2DBC299C"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Experience tells us that</w:t>
      </w:r>
      <w:r w:rsidR="009B4598" w:rsidRPr="00A90FA1">
        <w:rPr>
          <w:rFonts w:ascii="Bookman Old Style" w:eastAsia="Times New Roman" w:hAnsi="Bookman Old Style"/>
          <w:sz w:val="24"/>
          <w:szCs w:val="24"/>
        </w:rPr>
        <w:t>,</w:t>
      </w:r>
      <w:r w:rsidRPr="00A90FA1">
        <w:rPr>
          <w:rFonts w:ascii="Bookman Old Style" w:eastAsia="Times New Roman" w:hAnsi="Bookman Old Style"/>
          <w:sz w:val="24"/>
          <w:szCs w:val="24"/>
        </w:rPr>
        <w:t xml:space="preserve"> if there has been significant trauma to one member of the family, this can affect the whole family in a raft of ways. </w:t>
      </w:r>
      <w:r w:rsidR="00210641" w:rsidRPr="00A90FA1">
        <w:rPr>
          <w:rFonts w:ascii="Bookman Old Style" w:eastAsia="Times New Roman" w:hAnsi="Bookman Old Style"/>
          <w:sz w:val="24"/>
          <w:szCs w:val="24"/>
        </w:rPr>
        <w:t xml:space="preserve"> </w:t>
      </w:r>
      <w:r w:rsidRPr="00A90FA1">
        <w:rPr>
          <w:rFonts w:ascii="Bookman Old Style" w:eastAsia="Times New Roman" w:hAnsi="Bookman Old Style"/>
          <w:sz w:val="24"/>
          <w:szCs w:val="24"/>
        </w:rPr>
        <w:t xml:space="preserve">But often we don’t see these claims, focussing only on the primary victim. </w:t>
      </w:r>
    </w:p>
    <w:p w14:paraId="3881E4DF" w14:textId="77777777" w:rsidR="002F0317" w:rsidRPr="00A90FA1" w:rsidRDefault="002F0317" w:rsidP="002F0317">
      <w:pPr>
        <w:jc w:val="both"/>
        <w:rPr>
          <w:rFonts w:ascii="Bookman Old Style" w:eastAsia="Times New Roman" w:hAnsi="Bookman Old Style"/>
          <w:sz w:val="24"/>
          <w:szCs w:val="24"/>
        </w:rPr>
      </w:pPr>
    </w:p>
    <w:p w14:paraId="6A36237D" w14:textId="77777777" w:rsidR="002F0317" w:rsidRPr="00A90FA1" w:rsidRDefault="002F0317" w:rsidP="002F0317">
      <w:pPr>
        <w:jc w:val="both"/>
        <w:rPr>
          <w:rFonts w:ascii="Bookman Old Style" w:eastAsia="Times New Roman" w:hAnsi="Bookman Old Style"/>
          <w:sz w:val="24"/>
          <w:szCs w:val="24"/>
        </w:rPr>
      </w:pPr>
    </w:p>
    <w:p w14:paraId="39FC6281" w14:textId="4BD747E6"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Sexual abuse victims could be an example. What affect does the abuse have on </w:t>
      </w:r>
      <w:r w:rsidR="009A75C1" w:rsidRPr="00A90FA1">
        <w:rPr>
          <w:rFonts w:ascii="Bookman Old Style" w:eastAsia="Times New Roman" w:hAnsi="Bookman Old Style"/>
          <w:sz w:val="24"/>
          <w:szCs w:val="24"/>
        </w:rPr>
        <w:t>parents</w:t>
      </w:r>
      <w:r w:rsidR="00683808" w:rsidRPr="00A90FA1">
        <w:rPr>
          <w:rFonts w:ascii="Bookman Old Style" w:eastAsia="Times New Roman" w:hAnsi="Bookman Old Style"/>
          <w:sz w:val="24"/>
          <w:szCs w:val="24"/>
        </w:rPr>
        <w:t xml:space="preserve">, </w:t>
      </w:r>
      <w:proofErr w:type="gramStart"/>
      <w:r w:rsidRPr="00A90FA1">
        <w:rPr>
          <w:rFonts w:ascii="Bookman Old Style" w:eastAsia="Times New Roman" w:hAnsi="Bookman Old Style"/>
          <w:sz w:val="24"/>
          <w:szCs w:val="24"/>
        </w:rPr>
        <w:t>spouses</w:t>
      </w:r>
      <w:proofErr w:type="gramEnd"/>
      <w:r w:rsidRPr="00A90FA1">
        <w:rPr>
          <w:rFonts w:ascii="Bookman Old Style" w:eastAsia="Times New Roman" w:hAnsi="Bookman Old Style"/>
          <w:sz w:val="24"/>
          <w:szCs w:val="24"/>
        </w:rPr>
        <w:t xml:space="preserve"> or children of the victim? Are there intergenerational victims? </w:t>
      </w:r>
      <w:r w:rsidR="00210641" w:rsidRPr="00A90FA1">
        <w:rPr>
          <w:rFonts w:ascii="Bookman Old Style" w:eastAsia="Times New Roman" w:hAnsi="Bookman Old Style"/>
          <w:sz w:val="24"/>
          <w:szCs w:val="24"/>
        </w:rPr>
        <w:t xml:space="preserve"> </w:t>
      </w:r>
      <w:r w:rsidR="007E3899" w:rsidRPr="00A90FA1">
        <w:rPr>
          <w:rFonts w:ascii="Bookman Old Style" w:eastAsia="Times New Roman" w:hAnsi="Bookman Old Style"/>
          <w:sz w:val="24"/>
          <w:szCs w:val="24"/>
        </w:rPr>
        <w:t xml:space="preserve">Are they even able to </w:t>
      </w:r>
      <w:r w:rsidR="00E82FFA" w:rsidRPr="00A90FA1">
        <w:rPr>
          <w:rFonts w:ascii="Bookman Old Style" w:eastAsia="Times New Roman" w:hAnsi="Bookman Old Style"/>
          <w:sz w:val="24"/>
          <w:szCs w:val="24"/>
        </w:rPr>
        <w:t>bring</w:t>
      </w:r>
      <w:r w:rsidR="007E3899" w:rsidRPr="00A90FA1">
        <w:rPr>
          <w:rFonts w:ascii="Bookman Old Style" w:eastAsia="Times New Roman" w:hAnsi="Bookman Old Style"/>
          <w:sz w:val="24"/>
          <w:szCs w:val="24"/>
        </w:rPr>
        <w:t xml:space="preserve"> claims</w:t>
      </w:r>
      <w:r w:rsidR="00210641" w:rsidRPr="00A90FA1">
        <w:rPr>
          <w:rFonts w:ascii="Bookman Old Style" w:eastAsia="Times New Roman" w:hAnsi="Bookman Old Style"/>
          <w:sz w:val="24"/>
          <w:szCs w:val="24"/>
        </w:rPr>
        <w:t>?</w:t>
      </w:r>
      <w:r w:rsidR="002E0F05" w:rsidRPr="00A90FA1">
        <w:rPr>
          <w:rFonts w:ascii="Bookman Old Style" w:eastAsia="Times New Roman" w:hAnsi="Bookman Old Style"/>
          <w:sz w:val="24"/>
          <w:szCs w:val="24"/>
        </w:rPr>
        <w:t xml:space="preserve">  As with the High Court’s case of </w:t>
      </w:r>
      <w:r w:rsidR="002E0F05" w:rsidRPr="00A90FA1">
        <w:rPr>
          <w:rFonts w:ascii="Bookman Old Style" w:eastAsia="Times New Roman" w:hAnsi="Bookman Old Style"/>
          <w:i/>
          <w:iCs/>
          <w:sz w:val="24"/>
          <w:szCs w:val="24"/>
        </w:rPr>
        <w:t>Tame</w:t>
      </w:r>
      <w:r w:rsidR="002E0F05" w:rsidRPr="00A90FA1">
        <w:rPr>
          <w:rFonts w:ascii="Bookman Old Style" w:eastAsia="Times New Roman" w:hAnsi="Bookman Old Style"/>
          <w:sz w:val="24"/>
          <w:szCs w:val="24"/>
        </w:rPr>
        <w:t xml:space="preserve">, the parents suffering psychiatric injury from the death of their son </w:t>
      </w:r>
      <w:r w:rsidR="00AA451F" w:rsidRPr="00A90FA1">
        <w:rPr>
          <w:rFonts w:ascii="Bookman Old Style" w:eastAsia="Times New Roman" w:hAnsi="Bookman Old Style"/>
          <w:sz w:val="24"/>
          <w:szCs w:val="24"/>
        </w:rPr>
        <w:t xml:space="preserve">working </w:t>
      </w:r>
      <w:r w:rsidR="00683808" w:rsidRPr="00A90FA1">
        <w:rPr>
          <w:rFonts w:ascii="Bookman Old Style" w:eastAsia="Times New Roman" w:hAnsi="Bookman Old Style"/>
          <w:sz w:val="24"/>
          <w:szCs w:val="24"/>
        </w:rPr>
        <w:t xml:space="preserve">remotely </w:t>
      </w:r>
      <w:r w:rsidR="00AA451F" w:rsidRPr="00A90FA1">
        <w:rPr>
          <w:rFonts w:ascii="Bookman Old Style" w:eastAsia="Times New Roman" w:hAnsi="Bookman Old Style"/>
          <w:sz w:val="24"/>
          <w:szCs w:val="24"/>
        </w:rPr>
        <w:t xml:space="preserve">as a jackaroo, the </w:t>
      </w:r>
      <w:r w:rsidR="00AA451F" w:rsidRPr="00A90FA1">
        <w:rPr>
          <w:rFonts w:ascii="Bookman Old Style" w:eastAsia="Times New Roman" w:hAnsi="Bookman Old Style"/>
          <w:i/>
          <w:iCs/>
          <w:sz w:val="24"/>
          <w:szCs w:val="24"/>
        </w:rPr>
        <w:t xml:space="preserve">Wrongs Act </w:t>
      </w:r>
      <w:r w:rsidR="00AA451F" w:rsidRPr="00A90FA1">
        <w:rPr>
          <w:rFonts w:ascii="Bookman Old Style" w:eastAsia="Times New Roman" w:hAnsi="Bookman Old Style"/>
          <w:sz w:val="24"/>
          <w:szCs w:val="24"/>
        </w:rPr>
        <w:t xml:space="preserve">extends a cause of action for nervous shock to family members of a primary victim. </w:t>
      </w:r>
      <w:r w:rsidR="007C29D1" w:rsidRPr="00A90FA1">
        <w:rPr>
          <w:rFonts w:ascii="Bookman Old Style" w:eastAsia="Times New Roman" w:hAnsi="Bookman Old Style"/>
          <w:sz w:val="24"/>
          <w:szCs w:val="24"/>
        </w:rPr>
        <w:t xml:space="preserve"> </w:t>
      </w:r>
      <w:r w:rsidR="008E00DA" w:rsidRPr="00A90FA1">
        <w:rPr>
          <w:rFonts w:ascii="Bookman Old Style" w:eastAsia="Times New Roman" w:hAnsi="Bookman Old Style"/>
          <w:sz w:val="24"/>
          <w:szCs w:val="24"/>
        </w:rPr>
        <w:t xml:space="preserve">There is no longer a need to witness the incident.  </w:t>
      </w:r>
      <w:r w:rsidR="00E82FFA" w:rsidRPr="00A90FA1">
        <w:rPr>
          <w:rFonts w:ascii="Bookman Old Style" w:eastAsia="Times New Roman" w:hAnsi="Bookman Old Style"/>
          <w:sz w:val="24"/>
          <w:szCs w:val="24"/>
        </w:rPr>
        <w:t>Psychiatric i</w:t>
      </w:r>
      <w:r w:rsidR="00A04FEC" w:rsidRPr="00A90FA1">
        <w:rPr>
          <w:rFonts w:ascii="Bookman Old Style" w:eastAsia="Times New Roman" w:hAnsi="Bookman Old Style"/>
          <w:sz w:val="24"/>
          <w:szCs w:val="24"/>
        </w:rPr>
        <w:t>njury</w:t>
      </w:r>
      <w:r w:rsidR="00E82FFA" w:rsidRPr="00A90FA1">
        <w:rPr>
          <w:rFonts w:ascii="Bookman Old Style" w:eastAsia="Times New Roman" w:hAnsi="Bookman Old Style"/>
          <w:sz w:val="24"/>
          <w:szCs w:val="24"/>
        </w:rPr>
        <w:t xml:space="preserve"> to family members</w:t>
      </w:r>
      <w:r w:rsidR="00A04FEC" w:rsidRPr="00A90FA1">
        <w:rPr>
          <w:rFonts w:ascii="Bookman Old Style" w:eastAsia="Times New Roman" w:hAnsi="Bookman Old Style"/>
          <w:sz w:val="24"/>
          <w:szCs w:val="24"/>
        </w:rPr>
        <w:t xml:space="preserve"> needs only to be reasonably foreseeable. </w:t>
      </w:r>
      <w:r w:rsidR="00672C81" w:rsidRPr="00A90FA1">
        <w:rPr>
          <w:rFonts w:ascii="Bookman Old Style" w:eastAsia="Times New Roman" w:hAnsi="Bookman Old Style"/>
          <w:sz w:val="24"/>
          <w:szCs w:val="24"/>
        </w:rPr>
        <w:t xml:space="preserve"> How far </w:t>
      </w:r>
      <w:r w:rsidR="00322B99" w:rsidRPr="00A90FA1">
        <w:rPr>
          <w:rFonts w:ascii="Bookman Old Style" w:eastAsia="Times New Roman" w:hAnsi="Bookman Old Style"/>
          <w:sz w:val="24"/>
          <w:szCs w:val="24"/>
        </w:rPr>
        <w:t xml:space="preserve">this goes remains to be seen. </w:t>
      </w:r>
      <w:r w:rsidR="00672C81" w:rsidRPr="00A90FA1">
        <w:rPr>
          <w:rFonts w:ascii="Bookman Old Style" w:eastAsia="Times New Roman" w:hAnsi="Bookman Old Style"/>
          <w:sz w:val="24"/>
          <w:szCs w:val="24"/>
        </w:rPr>
        <w:t xml:space="preserve"> </w:t>
      </w:r>
    </w:p>
    <w:p w14:paraId="225BBE84" w14:textId="77777777" w:rsidR="002F0317" w:rsidRPr="00A90FA1" w:rsidRDefault="002F0317" w:rsidP="002F0317">
      <w:pPr>
        <w:jc w:val="both"/>
        <w:rPr>
          <w:rFonts w:ascii="Bookman Old Style" w:eastAsia="Times New Roman" w:hAnsi="Bookman Old Style"/>
          <w:sz w:val="24"/>
          <w:szCs w:val="24"/>
        </w:rPr>
      </w:pPr>
    </w:p>
    <w:p w14:paraId="34A884A7" w14:textId="77777777" w:rsidR="002F0317" w:rsidRPr="00A90FA1" w:rsidRDefault="002F0317" w:rsidP="002F0317">
      <w:pPr>
        <w:jc w:val="both"/>
        <w:rPr>
          <w:rFonts w:ascii="Bookman Old Style" w:eastAsia="Times New Roman" w:hAnsi="Bookman Old Style"/>
          <w:sz w:val="24"/>
          <w:szCs w:val="24"/>
        </w:rPr>
      </w:pPr>
    </w:p>
    <w:p w14:paraId="3FF5C512" w14:textId="6AE928B1"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The recent decision of McDonald J in </w:t>
      </w:r>
      <w:r w:rsidRPr="00A90FA1">
        <w:rPr>
          <w:rFonts w:ascii="Bookman Old Style" w:eastAsia="Times New Roman" w:hAnsi="Bookman Old Style"/>
          <w:i/>
          <w:iCs/>
          <w:sz w:val="24"/>
          <w:szCs w:val="24"/>
        </w:rPr>
        <w:t>RWQ v The Catholic Archdiocese of Melbourne &amp; Ors</w:t>
      </w:r>
      <w:r w:rsidRPr="00A90FA1">
        <w:rPr>
          <w:rFonts w:ascii="Bookman Old Style" w:eastAsia="Times New Roman" w:hAnsi="Bookman Old Style"/>
          <w:sz w:val="24"/>
          <w:szCs w:val="24"/>
        </w:rPr>
        <w:t xml:space="preserve"> [2022] VSC 483 shows that at least some reforms enabling victims to sue for historical abuse are not limited to the primary victim. That case looked at the </w:t>
      </w:r>
      <w:r w:rsidRPr="00A90FA1">
        <w:rPr>
          <w:rFonts w:ascii="Bookman Old Style" w:eastAsia="Times New Roman" w:hAnsi="Bookman Old Style"/>
          <w:i/>
          <w:iCs/>
          <w:sz w:val="24"/>
          <w:szCs w:val="24"/>
        </w:rPr>
        <w:t>Legal Identity of Defendants (Organisational Child Abuse) Act 2018</w:t>
      </w:r>
      <w:r w:rsidRPr="00A90FA1">
        <w:rPr>
          <w:rFonts w:ascii="Bookman Old Style" w:eastAsia="Times New Roman" w:hAnsi="Bookman Old Style"/>
          <w:sz w:val="24"/>
          <w:szCs w:val="24"/>
        </w:rPr>
        <w:t xml:space="preserve"> (Vic), which removes the so-called </w:t>
      </w:r>
      <w:r w:rsidRPr="00A90FA1">
        <w:rPr>
          <w:rFonts w:ascii="Bookman Old Style" w:eastAsia="Times New Roman" w:hAnsi="Bookman Old Style"/>
          <w:i/>
          <w:iCs/>
          <w:sz w:val="24"/>
          <w:szCs w:val="24"/>
        </w:rPr>
        <w:t>Ellis</w:t>
      </w:r>
      <w:r w:rsidRPr="00A90FA1">
        <w:rPr>
          <w:rFonts w:ascii="Bookman Old Style" w:eastAsia="Times New Roman" w:hAnsi="Bookman Old Style"/>
          <w:sz w:val="24"/>
          <w:szCs w:val="24"/>
        </w:rPr>
        <w:t xml:space="preserve"> defenc</w:t>
      </w:r>
      <w:r w:rsidR="00CE09C4" w:rsidRPr="00A90FA1">
        <w:rPr>
          <w:rFonts w:ascii="Bookman Old Style" w:eastAsia="Times New Roman" w:hAnsi="Bookman Old Style"/>
          <w:sz w:val="24"/>
          <w:szCs w:val="24"/>
        </w:rPr>
        <w:t>e</w:t>
      </w:r>
      <w:r w:rsidR="00E027DD" w:rsidRPr="00A90FA1">
        <w:rPr>
          <w:rFonts w:ascii="Bookman Old Style" w:eastAsia="Times New Roman" w:hAnsi="Bookman Old Style"/>
          <w:sz w:val="24"/>
          <w:szCs w:val="24"/>
        </w:rPr>
        <w:t xml:space="preserve">, enabling one to </w:t>
      </w:r>
      <w:r w:rsidRPr="00A90FA1">
        <w:rPr>
          <w:rFonts w:ascii="Bookman Old Style" w:eastAsia="Times New Roman" w:hAnsi="Bookman Old Style"/>
          <w:sz w:val="24"/>
          <w:szCs w:val="24"/>
        </w:rPr>
        <w:t>sue unincorporated entities</w:t>
      </w:r>
      <w:r w:rsidR="00CC60BF" w:rsidRPr="00A90FA1">
        <w:rPr>
          <w:rFonts w:ascii="Bookman Old Style" w:eastAsia="Times New Roman" w:hAnsi="Bookman Old Style"/>
          <w:sz w:val="24"/>
          <w:szCs w:val="24"/>
        </w:rPr>
        <w:t>,</w:t>
      </w:r>
      <w:r w:rsidRPr="00A90FA1">
        <w:rPr>
          <w:rFonts w:ascii="Bookman Old Style" w:eastAsia="Times New Roman" w:hAnsi="Bookman Old Style"/>
          <w:sz w:val="24"/>
          <w:szCs w:val="24"/>
        </w:rPr>
        <w:t xml:space="preserve"> traditionally not legal entities capable of being sued. One would imagine changes to limitation periods extend to secondary victims too. </w:t>
      </w:r>
    </w:p>
    <w:p w14:paraId="52962B8A" w14:textId="77777777" w:rsidR="002F0317" w:rsidRPr="00A90FA1" w:rsidRDefault="002F0317" w:rsidP="002F0317">
      <w:pPr>
        <w:jc w:val="both"/>
        <w:rPr>
          <w:rFonts w:ascii="Bookman Old Style" w:eastAsia="Times New Roman" w:hAnsi="Bookman Old Style"/>
          <w:sz w:val="24"/>
          <w:szCs w:val="24"/>
        </w:rPr>
      </w:pPr>
    </w:p>
    <w:p w14:paraId="66112B77" w14:textId="77777777" w:rsidR="002F0317" w:rsidRPr="00A90FA1" w:rsidRDefault="002F0317" w:rsidP="002F0317">
      <w:pPr>
        <w:jc w:val="both"/>
        <w:rPr>
          <w:rFonts w:ascii="Bookman Old Style" w:eastAsia="Times New Roman" w:hAnsi="Bookman Old Style"/>
          <w:sz w:val="24"/>
          <w:szCs w:val="24"/>
        </w:rPr>
      </w:pPr>
    </w:p>
    <w:p w14:paraId="3BBD685F" w14:textId="77777777" w:rsidR="002F0317" w:rsidRPr="00A90FA1" w:rsidRDefault="002F0317" w:rsidP="002F0317">
      <w:pPr>
        <w:jc w:val="both"/>
        <w:rPr>
          <w:rFonts w:ascii="Bookman Old Style" w:eastAsia="Times New Roman" w:hAnsi="Bookman Old Style"/>
          <w:b/>
          <w:bCs/>
          <w:sz w:val="24"/>
          <w:szCs w:val="24"/>
        </w:rPr>
      </w:pPr>
      <w:r w:rsidRPr="00A90FA1">
        <w:rPr>
          <w:rFonts w:ascii="Bookman Old Style" w:eastAsia="Times New Roman" w:hAnsi="Bookman Old Style"/>
          <w:b/>
          <w:bCs/>
          <w:sz w:val="24"/>
          <w:szCs w:val="24"/>
        </w:rPr>
        <w:t xml:space="preserve">Transport accidents </w:t>
      </w:r>
    </w:p>
    <w:p w14:paraId="6C59CCD1" w14:textId="77777777" w:rsidR="002F0317" w:rsidRPr="00A90FA1" w:rsidRDefault="002F0317" w:rsidP="002F0317">
      <w:pPr>
        <w:jc w:val="both"/>
        <w:rPr>
          <w:rFonts w:ascii="Bookman Old Style" w:eastAsia="Times New Roman" w:hAnsi="Bookman Old Style"/>
          <w:sz w:val="24"/>
          <w:szCs w:val="24"/>
        </w:rPr>
      </w:pPr>
    </w:p>
    <w:p w14:paraId="4C1352A1" w14:textId="77777777" w:rsidR="002F0317" w:rsidRPr="00A90FA1" w:rsidRDefault="002F0317" w:rsidP="002F0317">
      <w:pPr>
        <w:jc w:val="both"/>
        <w:rPr>
          <w:rFonts w:ascii="Bookman Old Style" w:eastAsia="Times New Roman" w:hAnsi="Bookman Old Style"/>
          <w:sz w:val="24"/>
          <w:szCs w:val="24"/>
        </w:rPr>
      </w:pPr>
    </w:p>
    <w:p w14:paraId="1C55C920" w14:textId="77777777"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Secondary victim claims should not be forgotten in transport accidents either. </w:t>
      </w:r>
    </w:p>
    <w:p w14:paraId="221193EA" w14:textId="77777777" w:rsidR="002F0317" w:rsidRPr="00A90FA1" w:rsidRDefault="002F0317" w:rsidP="002F0317">
      <w:pPr>
        <w:jc w:val="both"/>
        <w:rPr>
          <w:rFonts w:ascii="Bookman Old Style" w:eastAsia="Times New Roman" w:hAnsi="Bookman Old Style"/>
          <w:sz w:val="24"/>
          <w:szCs w:val="24"/>
        </w:rPr>
      </w:pPr>
    </w:p>
    <w:p w14:paraId="17642FD5" w14:textId="77777777" w:rsidR="002F0317" w:rsidRPr="00A90FA1" w:rsidRDefault="002F0317" w:rsidP="002F0317">
      <w:pPr>
        <w:jc w:val="both"/>
        <w:rPr>
          <w:rFonts w:ascii="Bookman Old Style" w:eastAsia="Times New Roman" w:hAnsi="Bookman Old Style"/>
          <w:sz w:val="24"/>
          <w:szCs w:val="24"/>
        </w:rPr>
      </w:pPr>
    </w:p>
    <w:p w14:paraId="798BBE37" w14:textId="0AE09193"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lastRenderedPageBreak/>
        <w:t xml:space="preserve">In </w:t>
      </w:r>
      <w:r w:rsidRPr="00A90FA1">
        <w:rPr>
          <w:rFonts w:ascii="Bookman Old Style" w:eastAsia="Times New Roman" w:hAnsi="Bookman Old Style"/>
          <w:i/>
          <w:iCs/>
          <w:sz w:val="24"/>
          <w:szCs w:val="24"/>
        </w:rPr>
        <w:t>Biggs v O'Connor</w:t>
      </w:r>
      <w:r w:rsidRPr="00A90FA1">
        <w:rPr>
          <w:rFonts w:ascii="Bookman Old Style" w:eastAsia="Times New Roman" w:hAnsi="Bookman Old Style"/>
          <w:sz w:val="24"/>
          <w:szCs w:val="24"/>
        </w:rPr>
        <w:t xml:space="preserve"> [2021] VSC 826, Keogh J looked at a secondary victim’s claim arising from a motor bike accident. </w:t>
      </w:r>
      <w:r w:rsidR="003C6A7A" w:rsidRPr="00A90FA1">
        <w:rPr>
          <w:rFonts w:ascii="Bookman Old Style" w:eastAsia="Times New Roman" w:hAnsi="Bookman Old Style"/>
          <w:sz w:val="24"/>
          <w:szCs w:val="24"/>
        </w:rPr>
        <w:t xml:space="preserve"> </w:t>
      </w:r>
      <w:r w:rsidR="00F72FA6" w:rsidRPr="00A90FA1">
        <w:rPr>
          <w:rFonts w:ascii="Bookman Old Style" w:eastAsia="Times New Roman" w:hAnsi="Bookman Old Style"/>
          <w:sz w:val="24"/>
          <w:szCs w:val="24"/>
        </w:rPr>
        <w:t>The Plaintiff</w:t>
      </w:r>
      <w:r w:rsidRPr="00A90FA1">
        <w:rPr>
          <w:rFonts w:ascii="Bookman Old Style" w:eastAsia="Times New Roman" w:hAnsi="Bookman Old Style"/>
          <w:sz w:val="24"/>
          <w:szCs w:val="24"/>
        </w:rPr>
        <w:t>’</w:t>
      </w:r>
      <w:r w:rsidR="00F72FA6" w:rsidRPr="00A90FA1">
        <w:rPr>
          <w:rFonts w:ascii="Bookman Old Style" w:eastAsia="Times New Roman" w:hAnsi="Bookman Old Style"/>
          <w:sz w:val="24"/>
          <w:szCs w:val="24"/>
        </w:rPr>
        <w:t>s</w:t>
      </w:r>
      <w:r w:rsidRPr="00A90FA1">
        <w:rPr>
          <w:rFonts w:ascii="Bookman Old Style" w:eastAsia="Times New Roman" w:hAnsi="Bookman Old Style"/>
          <w:sz w:val="24"/>
          <w:szCs w:val="24"/>
        </w:rPr>
        <w:t xml:space="preserve"> husband was a pillion passenger of Mr O’Connor</w:t>
      </w:r>
      <w:r w:rsidR="00D1746A" w:rsidRPr="00A90FA1">
        <w:rPr>
          <w:rFonts w:ascii="Bookman Old Style" w:eastAsia="Times New Roman" w:hAnsi="Bookman Old Style"/>
          <w:sz w:val="24"/>
          <w:szCs w:val="24"/>
        </w:rPr>
        <w:t>, the defendant</w:t>
      </w:r>
      <w:r w:rsidRPr="00A90FA1">
        <w:rPr>
          <w:rFonts w:ascii="Bookman Old Style" w:eastAsia="Times New Roman" w:hAnsi="Bookman Old Style"/>
          <w:sz w:val="24"/>
          <w:szCs w:val="24"/>
        </w:rPr>
        <w:t>. The husband was killed</w:t>
      </w:r>
      <w:r w:rsidR="003C6A7A" w:rsidRPr="00A90FA1">
        <w:rPr>
          <w:rFonts w:ascii="Bookman Old Style" w:eastAsia="Times New Roman" w:hAnsi="Bookman Old Style"/>
          <w:sz w:val="24"/>
          <w:szCs w:val="24"/>
        </w:rPr>
        <w:t xml:space="preserve"> in the accident</w:t>
      </w:r>
      <w:r w:rsidRPr="00A90FA1">
        <w:rPr>
          <w:rFonts w:ascii="Bookman Old Style" w:eastAsia="Times New Roman" w:hAnsi="Bookman Old Style"/>
          <w:sz w:val="24"/>
          <w:szCs w:val="24"/>
        </w:rPr>
        <w:t>.</w:t>
      </w:r>
      <w:r w:rsidR="003C6A7A" w:rsidRPr="00A90FA1">
        <w:rPr>
          <w:rFonts w:ascii="Bookman Old Style" w:eastAsia="Times New Roman" w:hAnsi="Bookman Old Style"/>
          <w:sz w:val="24"/>
          <w:szCs w:val="24"/>
        </w:rPr>
        <w:t xml:space="preserve"> </w:t>
      </w:r>
      <w:r w:rsidRPr="00A90FA1">
        <w:rPr>
          <w:rFonts w:ascii="Bookman Old Style" w:eastAsia="Times New Roman" w:hAnsi="Bookman Old Style"/>
          <w:sz w:val="24"/>
          <w:szCs w:val="24"/>
        </w:rPr>
        <w:t xml:space="preserve"> The defendant was affected by alcohol at the time and the husband had been drinking with the defendant before the ride. </w:t>
      </w:r>
      <w:r w:rsidR="003C6A7A" w:rsidRPr="00A90FA1">
        <w:rPr>
          <w:rFonts w:ascii="Bookman Old Style" w:eastAsia="Times New Roman" w:hAnsi="Bookman Old Style"/>
          <w:sz w:val="24"/>
          <w:szCs w:val="24"/>
        </w:rPr>
        <w:t xml:space="preserve"> The defendant said that the deceased</w:t>
      </w:r>
      <w:r w:rsidR="00D1746A" w:rsidRPr="00A90FA1">
        <w:rPr>
          <w:rFonts w:ascii="Bookman Old Style" w:eastAsia="Times New Roman" w:hAnsi="Bookman Old Style"/>
          <w:sz w:val="24"/>
          <w:szCs w:val="24"/>
        </w:rPr>
        <w:t xml:space="preserve"> husband</w:t>
      </w:r>
      <w:r w:rsidR="003C6A7A" w:rsidRPr="00A90FA1">
        <w:rPr>
          <w:rFonts w:ascii="Bookman Old Style" w:eastAsia="Times New Roman" w:hAnsi="Bookman Old Style"/>
          <w:sz w:val="24"/>
          <w:szCs w:val="24"/>
        </w:rPr>
        <w:t xml:space="preserve"> had voluntarily assumed the risk that </w:t>
      </w:r>
      <w:r w:rsidR="00955A42" w:rsidRPr="00A90FA1">
        <w:rPr>
          <w:rFonts w:ascii="Bookman Old Style" w:eastAsia="Times New Roman" w:hAnsi="Bookman Old Style"/>
          <w:sz w:val="24"/>
          <w:szCs w:val="24"/>
        </w:rPr>
        <w:t>led to his death by riding pillion with a drunk driver</w:t>
      </w:r>
      <w:r w:rsidR="003C6A7A" w:rsidRPr="00A90FA1">
        <w:rPr>
          <w:rFonts w:ascii="Bookman Old Style" w:eastAsia="Times New Roman" w:hAnsi="Bookman Old Style"/>
          <w:sz w:val="24"/>
          <w:szCs w:val="24"/>
        </w:rPr>
        <w:t xml:space="preserve">. </w:t>
      </w:r>
      <w:r w:rsidR="004834A8" w:rsidRPr="00A90FA1">
        <w:rPr>
          <w:rFonts w:ascii="Bookman Old Style" w:eastAsia="Times New Roman" w:hAnsi="Bookman Old Style"/>
          <w:sz w:val="24"/>
          <w:szCs w:val="24"/>
        </w:rPr>
        <w:t xml:space="preserve">It said that his wife’s claim must also fail. </w:t>
      </w:r>
    </w:p>
    <w:p w14:paraId="010D3AE5" w14:textId="77777777" w:rsidR="002F0317" w:rsidRPr="00A90FA1" w:rsidRDefault="002F0317" w:rsidP="002F0317">
      <w:pPr>
        <w:jc w:val="both"/>
        <w:rPr>
          <w:rFonts w:ascii="Bookman Old Style" w:eastAsia="Times New Roman" w:hAnsi="Bookman Old Style"/>
          <w:sz w:val="24"/>
          <w:szCs w:val="24"/>
        </w:rPr>
      </w:pPr>
    </w:p>
    <w:p w14:paraId="739920DB" w14:textId="77777777" w:rsidR="002F0317" w:rsidRPr="00A90FA1" w:rsidRDefault="002F0317" w:rsidP="002F0317">
      <w:pPr>
        <w:jc w:val="both"/>
        <w:rPr>
          <w:rFonts w:ascii="Bookman Old Style" w:eastAsia="Times New Roman" w:hAnsi="Bookman Old Style"/>
          <w:sz w:val="24"/>
          <w:szCs w:val="24"/>
        </w:rPr>
      </w:pPr>
    </w:p>
    <w:p w14:paraId="548E5E34" w14:textId="746DB316"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His Honour, citing a long line of authority, said it was wrong to focus on whether the driver owed a duty to the deceased or whether the deceased had voluntarily assumed the risk of injury. </w:t>
      </w:r>
      <w:r w:rsidR="00955A42" w:rsidRPr="00A90FA1">
        <w:rPr>
          <w:rFonts w:ascii="Bookman Old Style" w:eastAsia="Times New Roman" w:hAnsi="Bookman Old Style"/>
          <w:sz w:val="24"/>
          <w:szCs w:val="24"/>
        </w:rPr>
        <w:t xml:space="preserve"> </w:t>
      </w:r>
      <w:r w:rsidRPr="00A90FA1">
        <w:rPr>
          <w:rFonts w:ascii="Bookman Old Style" w:eastAsia="Times New Roman" w:hAnsi="Bookman Old Style"/>
          <w:sz w:val="24"/>
          <w:szCs w:val="24"/>
        </w:rPr>
        <w:t xml:space="preserve">A secondary victim’s cause of action had to be </w:t>
      </w:r>
      <w:proofErr w:type="gramStart"/>
      <w:r w:rsidRPr="00A90FA1">
        <w:rPr>
          <w:rFonts w:ascii="Bookman Old Style" w:eastAsia="Times New Roman" w:hAnsi="Bookman Old Style"/>
          <w:sz w:val="24"/>
          <w:szCs w:val="24"/>
        </w:rPr>
        <w:t>considered in its own right</w:t>
      </w:r>
      <w:proofErr w:type="gramEnd"/>
      <w:r w:rsidRPr="00A90FA1">
        <w:rPr>
          <w:rFonts w:ascii="Bookman Old Style" w:eastAsia="Times New Roman" w:hAnsi="Bookman Old Style"/>
          <w:sz w:val="24"/>
          <w:szCs w:val="24"/>
        </w:rPr>
        <w:t>.</w:t>
      </w:r>
      <w:r w:rsidR="00955A42" w:rsidRPr="00A90FA1">
        <w:rPr>
          <w:rFonts w:ascii="Bookman Old Style" w:eastAsia="Times New Roman" w:hAnsi="Bookman Old Style"/>
          <w:sz w:val="24"/>
          <w:szCs w:val="24"/>
        </w:rPr>
        <w:t xml:space="preserve"> </w:t>
      </w:r>
      <w:r w:rsidRPr="00A90FA1">
        <w:rPr>
          <w:rFonts w:ascii="Bookman Old Style" w:eastAsia="Times New Roman" w:hAnsi="Bookman Old Style"/>
          <w:sz w:val="24"/>
          <w:szCs w:val="24"/>
        </w:rPr>
        <w:t xml:space="preserve"> The defendant owed members of the primary victim’s family a duty of care to protect them against the risk of psychiatric injury, which the driver breached when driving under the influence of alcohol. </w:t>
      </w:r>
    </w:p>
    <w:p w14:paraId="74C0E4CD" w14:textId="77777777" w:rsidR="002F0317" w:rsidRPr="00A90FA1" w:rsidRDefault="002F0317" w:rsidP="002F0317">
      <w:pPr>
        <w:jc w:val="both"/>
        <w:rPr>
          <w:rFonts w:ascii="Bookman Old Style" w:eastAsia="Times New Roman" w:hAnsi="Bookman Old Style"/>
          <w:sz w:val="24"/>
          <w:szCs w:val="24"/>
        </w:rPr>
      </w:pPr>
    </w:p>
    <w:p w14:paraId="27168C9A" w14:textId="77777777" w:rsidR="002F0317" w:rsidRPr="00A90FA1" w:rsidRDefault="002F0317" w:rsidP="002F0317">
      <w:pPr>
        <w:jc w:val="both"/>
        <w:rPr>
          <w:rFonts w:ascii="Bookman Old Style" w:eastAsia="Times New Roman" w:hAnsi="Bookman Old Style"/>
          <w:sz w:val="24"/>
          <w:szCs w:val="24"/>
        </w:rPr>
      </w:pPr>
    </w:p>
    <w:p w14:paraId="271CBAA7" w14:textId="122E8F1E" w:rsidR="002F0317" w:rsidRPr="00A90FA1" w:rsidRDefault="00F14036"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So,</w:t>
      </w:r>
      <w:r w:rsidR="002F0317" w:rsidRPr="00A90FA1">
        <w:rPr>
          <w:rFonts w:ascii="Bookman Old Style" w:eastAsia="Times New Roman" w:hAnsi="Bookman Old Style"/>
          <w:sz w:val="24"/>
          <w:szCs w:val="24"/>
        </w:rPr>
        <w:t xml:space="preserve"> while it might be possible to bring home a defence against a primary victim for their own role in the events, a secondary victim may well have a more straightforward case. </w:t>
      </w:r>
      <w:r w:rsidRPr="00A90FA1">
        <w:rPr>
          <w:rFonts w:ascii="Bookman Old Style" w:eastAsia="Times New Roman" w:hAnsi="Bookman Old Style"/>
          <w:sz w:val="24"/>
          <w:szCs w:val="24"/>
        </w:rPr>
        <w:t xml:space="preserve"> Who would have thought?</w:t>
      </w:r>
    </w:p>
    <w:p w14:paraId="14314FD1" w14:textId="77777777" w:rsidR="002F0317" w:rsidRPr="00A90FA1" w:rsidRDefault="002F0317" w:rsidP="002F0317">
      <w:pPr>
        <w:jc w:val="both"/>
        <w:rPr>
          <w:rFonts w:ascii="Bookman Old Style" w:eastAsia="Times New Roman" w:hAnsi="Bookman Old Style"/>
          <w:sz w:val="24"/>
          <w:szCs w:val="24"/>
        </w:rPr>
      </w:pPr>
    </w:p>
    <w:p w14:paraId="42CFD2C7" w14:textId="77777777" w:rsidR="002F0317" w:rsidRPr="00A90FA1" w:rsidRDefault="002F0317" w:rsidP="002F0317">
      <w:pPr>
        <w:jc w:val="both"/>
        <w:rPr>
          <w:rFonts w:ascii="Bookman Old Style" w:eastAsia="Times New Roman" w:hAnsi="Bookman Old Style"/>
          <w:sz w:val="24"/>
          <w:szCs w:val="24"/>
        </w:rPr>
      </w:pPr>
    </w:p>
    <w:p w14:paraId="39D5EB91" w14:textId="77777777" w:rsidR="002F0317" w:rsidRPr="00A90FA1" w:rsidRDefault="002F0317" w:rsidP="002F0317">
      <w:pPr>
        <w:jc w:val="both"/>
        <w:rPr>
          <w:rFonts w:ascii="Bookman Old Style" w:eastAsia="Times New Roman" w:hAnsi="Bookman Old Style"/>
          <w:b/>
          <w:bCs/>
          <w:sz w:val="24"/>
          <w:szCs w:val="24"/>
        </w:rPr>
      </w:pPr>
      <w:r w:rsidRPr="00A90FA1">
        <w:rPr>
          <w:rFonts w:ascii="Bookman Old Style" w:eastAsia="Times New Roman" w:hAnsi="Bookman Old Style"/>
          <w:b/>
          <w:bCs/>
          <w:sz w:val="24"/>
          <w:szCs w:val="24"/>
        </w:rPr>
        <w:t xml:space="preserve">Koehler and Kozarov revisited </w:t>
      </w:r>
    </w:p>
    <w:p w14:paraId="5EBAFA42" w14:textId="77777777" w:rsidR="002F0317" w:rsidRPr="00A90FA1" w:rsidRDefault="002F0317" w:rsidP="002F0317">
      <w:pPr>
        <w:jc w:val="both"/>
        <w:rPr>
          <w:rFonts w:ascii="Bookman Old Style" w:eastAsia="Times New Roman" w:hAnsi="Bookman Old Style"/>
          <w:sz w:val="24"/>
          <w:szCs w:val="24"/>
        </w:rPr>
      </w:pPr>
    </w:p>
    <w:p w14:paraId="461F94FC" w14:textId="77777777" w:rsidR="002F0317" w:rsidRPr="00A90FA1" w:rsidRDefault="002F0317" w:rsidP="002F0317">
      <w:pPr>
        <w:jc w:val="both"/>
        <w:rPr>
          <w:rFonts w:ascii="Bookman Old Style" w:eastAsia="Times New Roman" w:hAnsi="Bookman Old Style"/>
          <w:sz w:val="24"/>
          <w:szCs w:val="24"/>
        </w:rPr>
      </w:pPr>
    </w:p>
    <w:p w14:paraId="44A36DAD" w14:textId="3C8D1C05"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I had intended </w:t>
      </w:r>
      <w:r w:rsidR="00C753FD" w:rsidRPr="00A90FA1">
        <w:rPr>
          <w:rFonts w:ascii="Bookman Old Style" w:eastAsia="Times New Roman" w:hAnsi="Bookman Old Style"/>
          <w:sz w:val="24"/>
          <w:szCs w:val="24"/>
        </w:rPr>
        <w:t xml:space="preserve">today </w:t>
      </w:r>
      <w:r w:rsidRPr="00A90FA1">
        <w:rPr>
          <w:rFonts w:ascii="Bookman Old Style" w:eastAsia="Times New Roman" w:hAnsi="Bookman Old Style"/>
          <w:sz w:val="24"/>
          <w:szCs w:val="24"/>
        </w:rPr>
        <w:t xml:space="preserve">to </w:t>
      </w:r>
      <w:proofErr w:type="gramStart"/>
      <w:r w:rsidRPr="00A90FA1">
        <w:rPr>
          <w:rFonts w:ascii="Bookman Old Style" w:eastAsia="Times New Roman" w:hAnsi="Bookman Old Style"/>
          <w:sz w:val="24"/>
          <w:szCs w:val="24"/>
        </w:rPr>
        <w:t>compare and contrast</w:t>
      </w:r>
      <w:proofErr w:type="gramEnd"/>
      <w:r w:rsidRPr="00A90FA1">
        <w:rPr>
          <w:rFonts w:ascii="Bookman Old Style" w:eastAsia="Times New Roman" w:hAnsi="Bookman Old Style"/>
          <w:sz w:val="24"/>
          <w:szCs w:val="24"/>
        </w:rPr>
        <w:t xml:space="preserve"> these two decisions. </w:t>
      </w:r>
      <w:r w:rsidR="00C753FD" w:rsidRPr="00A90FA1">
        <w:rPr>
          <w:rFonts w:ascii="Bookman Old Style" w:eastAsia="Times New Roman" w:hAnsi="Bookman Old Style"/>
          <w:sz w:val="24"/>
          <w:szCs w:val="24"/>
        </w:rPr>
        <w:t xml:space="preserve"> </w:t>
      </w:r>
      <w:r w:rsidRPr="00A90FA1">
        <w:rPr>
          <w:rFonts w:ascii="Bookman Old Style" w:eastAsia="Times New Roman" w:hAnsi="Bookman Old Style"/>
          <w:sz w:val="24"/>
          <w:szCs w:val="24"/>
        </w:rPr>
        <w:t xml:space="preserve">But </w:t>
      </w:r>
      <w:r w:rsidR="005D707D" w:rsidRPr="00A90FA1">
        <w:rPr>
          <w:rFonts w:ascii="Bookman Old Style" w:eastAsia="Times New Roman" w:hAnsi="Bookman Old Style"/>
          <w:sz w:val="24"/>
          <w:szCs w:val="24"/>
        </w:rPr>
        <w:t xml:space="preserve">a few members </w:t>
      </w:r>
      <w:r w:rsidR="0093388F" w:rsidRPr="00A90FA1">
        <w:rPr>
          <w:rFonts w:ascii="Bookman Old Style" w:eastAsia="Times New Roman" w:hAnsi="Bookman Old Style"/>
          <w:sz w:val="24"/>
          <w:szCs w:val="24"/>
        </w:rPr>
        <w:t xml:space="preserve">of the Bar </w:t>
      </w:r>
      <w:r w:rsidR="005D707D" w:rsidRPr="00A90FA1">
        <w:rPr>
          <w:rFonts w:ascii="Bookman Old Style" w:eastAsia="Times New Roman" w:hAnsi="Bookman Old Style"/>
          <w:sz w:val="24"/>
          <w:szCs w:val="24"/>
        </w:rPr>
        <w:t xml:space="preserve">brought my attention to </w:t>
      </w:r>
      <w:r w:rsidRPr="00A90FA1">
        <w:rPr>
          <w:rFonts w:ascii="Bookman Old Style" w:eastAsia="Times New Roman" w:hAnsi="Bookman Old Style"/>
          <w:sz w:val="24"/>
          <w:szCs w:val="24"/>
        </w:rPr>
        <w:t>yesterday</w:t>
      </w:r>
      <w:r w:rsidR="005D707D" w:rsidRPr="00A90FA1">
        <w:rPr>
          <w:rFonts w:ascii="Bookman Old Style" w:eastAsia="Times New Roman" w:hAnsi="Bookman Old Style"/>
          <w:sz w:val="24"/>
          <w:szCs w:val="24"/>
        </w:rPr>
        <w:t>’s</w:t>
      </w:r>
      <w:r w:rsidRPr="00A90FA1">
        <w:rPr>
          <w:rFonts w:ascii="Bookman Old Style" w:eastAsia="Times New Roman" w:hAnsi="Bookman Old Style"/>
          <w:sz w:val="24"/>
          <w:szCs w:val="24"/>
        </w:rPr>
        <w:t xml:space="preserve"> Court of Appeal d</w:t>
      </w:r>
      <w:r w:rsidR="005D707D" w:rsidRPr="00A90FA1">
        <w:rPr>
          <w:rFonts w:ascii="Bookman Old Style" w:eastAsia="Times New Roman" w:hAnsi="Bookman Old Style"/>
          <w:sz w:val="24"/>
          <w:szCs w:val="24"/>
        </w:rPr>
        <w:t>ecision</w:t>
      </w:r>
      <w:r w:rsidRPr="00A90FA1">
        <w:rPr>
          <w:rFonts w:ascii="Bookman Old Style" w:eastAsia="Times New Roman" w:hAnsi="Bookman Old Style"/>
          <w:sz w:val="24"/>
          <w:szCs w:val="24"/>
        </w:rPr>
        <w:t xml:space="preserve">. I won’t reveal how my comparison </w:t>
      </w:r>
      <w:r w:rsidR="00C7375D" w:rsidRPr="00A90FA1">
        <w:rPr>
          <w:rFonts w:ascii="Bookman Old Style" w:eastAsia="Times New Roman" w:hAnsi="Bookman Old Style"/>
          <w:sz w:val="24"/>
          <w:szCs w:val="24"/>
        </w:rPr>
        <w:t xml:space="preserve">of these cases </w:t>
      </w:r>
      <w:r w:rsidRPr="00A90FA1">
        <w:rPr>
          <w:rFonts w:ascii="Bookman Old Style" w:eastAsia="Times New Roman" w:hAnsi="Bookman Old Style"/>
          <w:sz w:val="24"/>
          <w:szCs w:val="24"/>
        </w:rPr>
        <w:t xml:space="preserve">compared to the learned judges’! </w:t>
      </w:r>
      <w:r w:rsidR="005D707D" w:rsidRPr="00A90FA1">
        <w:rPr>
          <w:rFonts w:ascii="Bookman Old Style" w:eastAsia="Times New Roman" w:hAnsi="Bookman Old Style"/>
          <w:sz w:val="24"/>
          <w:szCs w:val="24"/>
        </w:rPr>
        <w:t xml:space="preserve">But </w:t>
      </w:r>
      <w:proofErr w:type="gramStart"/>
      <w:r w:rsidR="005D707D" w:rsidRPr="00A90FA1">
        <w:rPr>
          <w:rFonts w:ascii="Bookman Old Style" w:eastAsia="Times New Roman" w:hAnsi="Bookman Old Style"/>
          <w:sz w:val="24"/>
          <w:szCs w:val="24"/>
        </w:rPr>
        <w:t>surely</w:t>
      </w:r>
      <w:proofErr w:type="gramEnd"/>
      <w:r w:rsidR="005D707D" w:rsidRPr="00A90FA1">
        <w:rPr>
          <w:rFonts w:ascii="Bookman Old Style" w:eastAsia="Times New Roman" w:hAnsi="Bookman Old Style"/>
          <w:sz w:val="24"/>
          <w:szCs w:val="24"/>
        </w:rPr>
        <w:t xml:space="preserve"> I cannot lead you astray now</w:t>
      </w:r>
      <w:r w:rsidRPr="00A90FA1">
        <w:rPr>
          <w:rFonts w:ascii="Bookman Old Style" w:eastAsia="Times New Roman" w:hAnsi="Bookman Old Style"/>
          <w:sz w:val="24"/>
          <w:szCs w:val="24"/>
        </w:rPr>
        <w:t xml:space="preserve">. </w:t>
      </w:r>
    </w:p>
    <w:p w14:paraId="4CB34F6D" w14:textId="77777777" w:rsidR="002F0317" w:rsidRPr="00A90FA1" w:rsidRDefault="002F0317" w:rsidP="002F0317">
      <w:pPr>
        <w:jc w:val="both"/>
        <w:rPr>
          <w:rFonts w:ascii="Bookman Old Style" w:eastAsia="Times New Roman" w:hAnsi="Bookman Old Style"/>
          <w:sz w:val="24"/>
          <w:szCs w:val="24"/>
        </w:rPr>
      </w:pPr>
    </w:p>
    <w:p w14:paraId="15FAF0AD" w14:textId="77777777" w:rsidR="002F0317" w:rsidRPr="00A90FA1" w:rsidRDefault="002F0317" w:rsidP="002F0317">
      <w:pPr>
        <w:jc w:val="both"/>
        <w:rPr>
          <w:rFonts w:ascii="Bookman Old Style" w:eastAsia="Times New Roman" w:hAnsi="Bookman Old Style"/>
          <w:sz w:val="24"/>
          <w:szCs w:val="24"/>
        </w:rPr>
      </w:pPr>
    </w:p>
    <w:p w14:paraId="56EFDBC9" w14:textId="77777777"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The decision I am referring to is </w:t>
      </w:r>
      <w:proofErr w:type="spellStart"/>
      <w:r w:rsidRPr="00A90FA1">
        <w:rPr>
          <w:rFonts w:ascii="Bookman Old Style" w:eastAsia="Times New Roman" w:hAnsi="Bookman Old Style"/>
          <w:i/>
          <w:iCs/>
          <w:sz w:val="24"/>
          <w:szCs w:val="24"/>
        </w:rPr>
        <w:t>Bersee</w:t>
      </w:r>
      <w:proofErr w:type="spellEnd"/>
      <w:r w:rsidRPr="00A90FA1">
        <w:rPr>
          <w:rFonts w:ascii="Bookman Old Style" w:eastAsia="Times New Roman" w:hAnsi="Bookman Old Style"/>
          <w:i/>
          <w:iCs/>
          <w:sz w:val="24"/>
          <w:szCs w:val="24"/>
        </w:rPr>
        <w:t xml:space="preserve"> v State of Victoria </w:t>
      </w:r>
      <w:r w:rsidRPr="00A90FA1">
        <w:rPr>
          <w:rFonts w:ascii="Bookman Old Style" w:eastAsia="Times New Roman" w:hAnsi="Bookman Old Style"/>
          <w:sz w:val="24"/>
          <w:szCs w:val="24"/>
        </w:rPr>
        <w:t xml:space="preserve">[2022] VSCA 231. </w:t>
      </w:r>
    </w:p>
    <w:p w14:paraId="4A0AB3EE" w14:textId="77777777" w:rsidR="0036344F" w:rsidRPr="00A90FA1" w:rsidRDefault="0036344F" w:rsidP="002F0317">
      <w:pPr>
        <w:jc w:val="both"/>
        <w:rPr>
          <w:rFonts w:ascii="Bookman Old Style" w:eastAsia="Times New Roman" w:hAnsi="Bookman Old Style"/>
          <w:sz w:val="24"/>
          <w:szCs w:val="24"/>
        </w:rPr>
      </w:pPr>
    </w:p>
    <w:p w14:paraId="4970D8F9" w14:textId="77777777" w:rsidR="005D707D" w:rsidRPr="00A90FA1" w:rsidRDefault="005D707D" w:rsidP="002F0317">
      <w:pPr>
        <w:jc w:val="both"/>
        <w:rPr>
          <w:rFonts w:ascii="Bookman Old Style" w:eastAsia="Times New Roman" w:hAnsi="Bookman Old Style"/>
          <w:sz w:val="24"/>
          <w:szCs w:val="24"/>
        </w:rPr>
      </w:pPr>
    </w:p>
    <w:p w14:paraId="43346DC9" w14:textId="12716166" w:rsidR="0036344F" w:rsidRPr="00A90FA1" w:rsidRDefault="0036344F"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By way of reminder, </w:t>
      </w:r>
      <w:r w:rsidRPr="00A90FA1">
        <w:rPr>
          <w:rFonts w:ascii="Bookman Old Style" w:eastAsia="Times New Roman" w:hAnsi="Bookman Old Style"/>
          <w:i/>
          <w:iCs/>
          <w:sz w:val="24"/>
          <w:szCs w:val="24"/>
        </w:rPr>
        <w:t>Koehler</w:t>
      </w:r>
      <w:r w:rsidRPr="00A90FA1">
        <w:rPr>
          <w:rFonts w:ascii="Bookman Old Style" w:eastAsia="Times New Roman" w:hAnsi="Bookman Old Style"/>
          <w:sz w:val="24"/>
          <w:szCs w:val="24"/>
        </w:rPr>
        <w:t xml:space="preserve"> was a case where a </w:t>
      </w:r>
      <w:r w:rsidR="00D543AD" w:rsidRPr="00A90FA1">
        <w:rPr>
          <w:rFonts w:ascii="Bookman Old Style" w:eastAsia="Times New Roman" w:hAnsi="Bookman Old Style"/>
          <w:sz w:val="24"/>
          <w:szCs w:val="24"/>
        </w:rPr>
        <w:t>sale’s rep’s</w:t>
      </w:r>
      <w:r w:rsidRPr="00A90FA1">
        <w:rPr>
          <w:rFonts w:ascii="Bookman Old Style" w:eastAsia="Times New Roman" w:hAnsi="Bookman Old Style"/>
          <w:sz w:val="24"/>
          <w:szCs w:val="24"/>
        </w:rPr>
        <w:t xml:space="preserve"> </w:t>
      </w:r>
      <w:r w:rsidR="00D543AD" w:rsidRPr="00A90FA1">
        <w:rPr>
          <w:rFonts w:ascii="Bookman Old Style" w:eastAsia="Times New Roman" w:hAnsi="Bookman Old Style"/>
          <w:sz w:val="24"/>
          <w:szCs w:val="24"/>
        </w:rPr>
        <w:t>workload</w:t>
      </w:r>
      <w:r w:rsidRPr="00A90FA1">
        <w:rPr>
          <w:rFonts w:ascii="Bookman Old Style" w:eastAsia="Times New Roman" w:hAnsi="Bookman Old Style"/>
          <w:sz w:val="24"/>
          <w:szCs w:val="24"/>
        </w:rPr>
        <w:t xml:space="preserve"> increased and she went off work, first thinking it was physical</w:t>
      </w:r>
      <w:r w:rsidR="00D543AD" w:rsidRPr="00A90FA1">
        <w:rPr>
          <w:rFonts w:ascii="Bookman Old Style" w:eastAsia="Times New Roman" w:hAnsi="Bookman Old Style"/>
          <w:sz w:val="24"/>
          <w:szCs w:val="24"/>
        </w:rPr>
        <w:t xml:space="preserve"> </w:t>
      </w:r>
      <w:proofErr w:type="gramStart"/>
      <w:r w:rsidR="00D543AD" w:rsidRPr="00A90FA1">
        <w:rPr>
          <w:rFonts w:ascii="Bookman Old Style" w:eastAsia="Times New Roman" w:hAnsi="Bookman Old Style"/>
          <w:sz w:val="24"/>
          <w:szCs w:val="24"/>
        </w:rPr>
        <w:t>illness</w:t>
      </w:r>
      <w:r w:rsidRPr="00A90FA1">
        <w:rPr>
          <w:rFonts w:ascii="Bookman Old Style" w:eastAsia="Times New Roman" w:hAnsi="Bookman Old Style"/>
          <w:sz w:val="24"/>
          <w:szCs w:val="24"/>
        </w:rPr>
        <w:t>,  but</w:t>
      </w:r>
      <w:proofErr w:type="gramEnd"/>
      <w:r w:rsidRPr="00A90FA1">
        <w:rPr>
          <w:rFonts w:ascii="Bookman Old Style" w:eastAsia="Times New Roman" w:hAnsi="Bookman Old Style"/>
          <w:sz w:val="24"/>
          <w:szCs w:val="24"/>
        </w:rPr>
        <w:t xml:space="preserve"> then realising it was psychiatric, caused by stress</w:t>
      </w:r>
      <w:r w:rsidR="00D543AD" w:rsidRPr="00A90FA1">
        <w:rPr>
          <w:rFonts w:ascii="Bookman Old Style" w:eastAsia="Times New Roman" w:hAnsi="Bookman Old Style"/>
          <w:sz w:val="24"/>
          <w:szCs w:val="24"/>
        </w:rPr>
        <w:t xml:space="preserve"> from </w:t>
      </w:r>
      <w:r w:rsidR="00352DA3" w:rsidRPr="00A90FA1">
        <w:rPr>
          <w:rFonts w:ascii="Bookman Old Style" w:eastAsia="Times New Roman" w:hAnsi="Bookman Old Style"/>
          <w:sz w:val="24"/>
          <w:szCs w:val="24"/>
        </w:rPr>
        <w:t>her</w:t>
      </w:r>
      <w:r w:rsidR="00D543AD" w:rsidRPr="00A90FA1">
        <w:rPr>
          <w:rFonts w:ascii="Bookman Old Style" w:eastAsia="Times New Roman" w:hAnsi="Bookman Old Style"/>
          <w:sz w:val="24"/>
          <w:szCs w:val="24"/>
        </w:rPr>
        <w:t xml:space="preserve"> </w:t>
      </w:r>
      <w:r w:rsidR="00822825" w:rsidRPr="00A90FA1">
        <w:rPr>
          <w:rFonts w:ascii="Bookman Old Style" w:eastAsia="Times New Roman" w:hAnsi="Bookman Old Style"/>
          <w:sz w:val="24"/>
          <w:szCs w:val="24"/>
        </w:rPr>
        <w:t xml:space="preserve">increased </w:t>
      </w:r>
      <w:r w:rsidR="00D543AD" w:rsidRPr="00A90FA1">
        <w:rPr>
          <w:rFonts w:ascii="Bookman Old Style" w:eastAsia="Times New Roman" w:hAnsi="Bookman Old Style"/>
          <w:sz w:val="24"/>
          <w:szCs w:val="24"/>
        </w:rPr>
        <w:t>workload</w:t>
      </w:r>
      <w:r w:rsidRPr="00A90FA1">
        <w:rPr>
          <w:rFonts w:ascii="Bookman Old Style" w:eastAsia="Times New Roman" w:hAnsi="Bookman Old Style"/>
          <w:sz w:val="24"/>
          <w:szCs w:val="24"/>
        </w:rPr>
        <w:t xml:space="preserve">.  The High Court said that </w:t>
      </w:r>
      <w:r w:rsidR="0035270D" w:rsidRPr="00A90FA1">
        <w:rPr>
          <w:rFonts w:ascii="Bookman Old Style" w:eastAsia="Times New Roman" w:hAnsi="Bookman Old Style"/>
          <w:sz w:val="24"/>
          <w:szCs w:val="24"/>
        </w:rPr>
        <w:t xml:space="preserve">her psychiatric injuries were not reasonably foreseeable </w:t>
      </w:r>
      <w:r w:rsidR="004A6B7F" w:rsidRPr="00A90FA1">
        <w:rPr>
          <w:rFonts w:ascii="Bookman Old Style" w:eastAsia="Times New Roman" w:hAnsi="Bookman Old Style"/>
          <w:sz w:val="24"/>
          <w:szCs w:val="24"/>
        </w:rPr>
        <w:t xml:space="preserve">to the employer, </w:t>
      </w:r>
      <w:r w:rsidR="0035270D" w:rsidRPr="00A90FA1">
        <w:rPr>
          <w:rFonts w:ascii="Bookman Old Style" w:eastAsia="Times New Roman" w:hAnsi="Bookman Old Style"/>
          <w:sz w:val="24"/>
          <w:szCs w:val="24"/>
        </w:rPr>
        <w:t>as there were no signposts of psychiatric injury</w:t>
      </w:r>
      <w:r w:rsidR="00B74B7E" w:rsidRPr="00A90FA1">
        <w:rPr>
          <w:rFonts w:ascii="Bookman Old Style" w:eastAsia="Times New Roman" w:hAnsi="Bookman Old Style"/>
          <w:sz w:val="24"/>
          <w:szCs w:val="24"/>
        </w:rPr>
        <w:t xml:space="preserve"> while she worked</w:t>
      </w:r>
      <w:r w:rsidR="005E7961" w:rsidRPr="00A90FA1">
        <w:rPr>
          <w:rFonts w:ascii="Bookman Old Style" w:eastAsia="Times New Roman" w:hAnsi="Bookman Old Style"/>
          <w:sz w:val="24"/>
          <w:szCs w:val="24"/>
        </w:rPr>
        <w:t xml:space="preserve">. </w:t>
      </w:r>
    </w:p>
    <w:p w14:paraId="787C0F9A" w14:textId="77777777" w:rsidR="005E7961" w:rsidRPr="00A90FA1" w:rsidRDefault="005E7961" w:rsidP="002F0317">
      <w:pPr>
        <w:jc w:val="both"/>
        <w:rPr>
          <w:rFonts w:ascii="Bookman Old Style" w:eastAsia="Times New Roman" w:hAnsi="Bookman Old Style"/>
          <w:sz w:val="24"/>
          <w:szCs w:val="24"/>
        </w:rPr>
      </w:pPr>
    </w:p>
    <w:p w14:paraId="1225D230" w14:textId="77777777" w:rsidR="005D707D" w:rsidRPr="00A90FA1" w:rsidRDefault="005D707D" w:rsidP="002F0317">
      <w:pPr>
        <w:jc w:val="both"/>
        <w:rPr>
          <w:rFonts w:ascii="Bookman Old Style" w:eastAsia="Times New Roman" w:hAnsi="Bookman Old Style"/>
          <w:sz w:val="24"/>
          <w:szCs w:val="24"/>
        </w:rPr>
      </w:pPr>
    </w:p>
    <w:p w14:paraId="32981A73" w14:textId="1E227B5D" w:rsidR="005E7961" w:rsidRPr="00A90FA1" w:rsidRDefault="005E7961"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On the other hand, </w:t>
      </w:r>
      <w:r w:rsidRPr="00A90FA1">
        <w:rPr>
          <w:rFonts w:ascii="Bookman Old Style" w:eastAsia="Times New Roman" w:hAnsi="Bookman Old Style"/>
          <w:i/>
          <w:iCs/>
          <w:sz w:val="24"/>
          <w:szCs w:val="24"/>
        </w:rPr>
        <w:t xml:space="preserve">Kozarov </w:t>
      </w:r>
      <w:r w:rsidRPr="00A90FA1">
        <w:rPr>
          <w:rFonts w:ascii="Bookman Old Style" w:eastAsia="Times New Roman" w:hAnsi="Bookman Old Style"/>
          <w:sz w:val="24"/>
          <w:szCs w:val="24"/>
        </w:rPr>
        <w:t>concerned a prosecutor who was working on cases of a</w:t>
      </w:r>
      <w:r w:rsidR="00B74B7E" w:rsidRPr="00A90FA1">
        <w:rPr>
          <w:rFonts w:ascii="Bookman Old Style" w:eastAsia="Times New Roman" w:hAnsi="Bookman Old Style"/>
          <w:sz w:val="24"/>
          <w:szCs w:val="24"/>
        </w:rPr>
        <w:t>n</w:t>
      </w:r>
      <w:r w:rsidRPr="00A90FA1">
        <w:rPr>
          <w:rFonts w:ascii="Bookman Old Style" w:eastAsia="Times New Roman" w:hAnsi="Bookman Old Style"/>
          <w:sz w:val="24"/>
          <w:szCs w:val="24"/>
        </w:rPr>
        <w:t xml:space="preserve"> horrific kind.  The employer knew that this work involved an inherent risk of</w:t>
      </w:r>
      <w:r w:rsidR="004A6B7F" w:rsidRPr="00A90FA1">
        <w:rPr>
          <w:rFonts w:ascii="Bookman Old Style" w:eastAsia="Times New Roman" w:hAnsi="Bookman Old Style"/>
          <w:sz w:val="24"/>
          <w:szCs w:val="24"/>
        </w:rPr>
        <w:t xml:space="preserve"> psychiatric</w:t>
      </w:r>
      <w:r w:rsidRPr="00A90FA1">
        <w:rPr>
          <w:rFonts w:ascii="Bookman Old Style" w:eastAsia="Times New Roman" w:hAnsi="Bookman Old Style"/>
          <w:sz w:val="24"/>
          <w:szCs w:val="24"/>
        </w:rPr>
        <w:t xml:space="preserve"> injury</w:t>
      </w:r>
      <w:r w:rsidR="00A653C6" w:rsidRPr="00A90FA1">
        <w:rPr>
          <w:rFonts w:ascii="Bookman Old Style" w:eastAsia="Times New Roman" w:hAnsi="Bookman Old Style"/>
          <w:sz w:val="24"/>
          <w:szCs w:val="24"/>
        </w:rPr>
        <w:t xml:space="preserve"> from the outset of </w:t>
      </w:r>
      <w:proofErr w:type="gramStart"/>
      <w:r w:rsidR="00A653C6" w:rsidRPr="00A90FA1">
        <w:rPr>
          <w:rFonts w:ascii="Bookman Old Style" w:eastAsia="Times New Roman" w:hAnsi="Bookman Old Style"/>
          <w:sz w:val="24"/>
          <w:szCs w:val="24"/>
        </w:rPr>
        <w:t>employment,</w:t>
      </w:r>
      <w:r w:rsidRPr="00A90FA1">
        <w:rPr>
          <w:rFonts w:ascii="Bookman Old Style" w:eastAsia="Times New Roman" w:hAnsi="Bookman Old Style"/>
          <w:sz w:val="24"/>
          <w:szCs w:val="24"/>
        </w:rPr>
        <w:t xml:space="preserve"> and</w:t>
      </w:r>
      <w:proofErr w:type="gramEnd"/>
      <w:r w:rsidRPr="00A90FA1">
        <w:rPr>
          <w:rFonts w:ascii="Bookman Old Style" w:eastAsia="Times New Roman" w:hAnsi="Bookman Old Style"/>
          <w:sz w:val="24"/>
          <w:szCs w:val="24"/>
        </w:rPr>
        <w:t xml:space="preserve"> did not act reasonably </w:t>
      </w:r>
      <w:r w:rsidR="0025499F" w:rsidRPr="00A90FA1">
        <w:rPr>
          <w:rFonts w:ascii="Bookman Old Style" w:eastAsia="Times New Roman" w:hAnsi="Bookman Old Style"/>
          <w:sz w:val="24"/>
          <w:szCs w:val="24"/>
        </w:rPr>
        <w:t>in responding to the risk</w:t>
      </w:r>
      <w:r w:rsidR="00284978" w:rsidRPr="00A90FA1">
        <w:rPr>
          <w:rFonts w:ascii="Bookman Old Style" w:eastAsia="Times New Roman" w:hAnsi="Bookman Old Style"/>
          <w:sz w:val="24"/>
          <w:szCs w:val="24"/>
        </w:rPr>
        <w:t xml:space="preserve"> or in accordance with its own risk management policies</w:t>
      </w:r>
      <w:r w:rsidR="0025499F" w:rsidRPr="00A90FA1">
        <w:rPr>
          <w:rFonts w:ascii="Bookman Old Style" w:eastAsia="Times New Roman" w:hAnsi="Bookman Old Style"/>
          <w:sz w:val="24"/>
          <w:szCs w:val="24"/>
        </w:rPr>
        <w:t xml:space="preserve">.  </w:t>
      </w:r>
      <w:r w:rsidR="0025499F" w:rsidRPr="00A90FA1">
        <w:rPr>
          <w:rFonts w:ascii="Bookman Old Style" w:eastAsia="Times New Roman" w:hAnsi="Bookman Old Style"/>
          <w:i/>
          <w:iCs/>
          <w:sz w:val="24"/>
          <w:szCs w:val="24"/>
        </w:rPr>
        <w:t xml:space="preserve">Kozarov </w:t>
      </w:r>
      <w:r w:rsidR="0025499F" w:rsidRPr="00A90FA1">
        <w:rPr>
          <w:rFonts w:ascii="Bookman Old Style" w:eastAsia="Times New Roman" w:hAnsi="Bookman Old Style"/>
          <w:sz w:val="24"/>
          <w:szCs w:val="24"/>
        </w:rPr>
        <w:t xml:space="preserve">succeeded. </w:t>
      </w:r>
    </w:p>
    <w:p w14:paraId="4ACF9E09" w14:textId="77777777" w:rsidR="002F0317" w:rsidRPr="00A90FA1" w:rsidRDefault="002F0317" w:rsidP="002F0317">
      <w:pPr>
        <w:jc w:val="both"/>
        <w:rPr>
          <w:rFonts w:ascii="Bookman Old Style" w:eastAsia="Times New Roman" w:hAnsi="Bookman Old Style"/>
          <w:sz w:val="24"/>
          <w:szCs w:val="24"/>
        </w:rPr>
      </w:pPr>
    </w:p>
    <w:p w14:paraId="19EEAE51" w14:textId="77777777" w:rsidR="002F0317" w:rsidRPr="00A90FA1" w:rsidRDefault="002F0317" w:rsidP="002F0317">
      <w:pPr>
        <w:jc w:val="both"/>
        <w:rPr>
          <w:rFonts w:ascii="Bookman Old Style" w:eastAsia="Times New Roman" w:hAnsi="Bookman Old Style"/>
          <w:sz w:val="24"/>
          <w:szCs w:val="24"/>
        </w:rPr>
      </w:pPr>
    </w:p>
    <w:p w14:paraId="74A2143E" w14:textId="116F80BB" w:rsidR="002F0317" w:rsidRPr="00A90FA1" w:rsidRDefault="005D707D"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In yesterday’s case, t</w:t>
      </w:r>
      <w:r w:rsidR="002F0317" w:rsidRPr="00A90FA1">
        <w:rPr>
          <w:rFonts w:ascii="Bookman Old Style" w:eastAsia="Times New Roman" w:hAnsi="Bookman Old Style"/>
          <w:sz w:val="24"/>
          <w:szCs w:val="24"/>
        </w:rPr>
        <w:t>he plaintiff was an accomplished high school teacher. He suffer</w:t>
      </w:r>
      <w:r w:rsidR="00C753FD" w:rsidRPr="00A90FA1">
        <w:rPr>
          <w:rFonts w:ascii="Bookman Old Style" w:eastAsia="Times New Roman" w:hAnsi="Bookman Old Style"/>
          <w:sz w:val="24"/>
          <w:szCs w:val="24"/>
        </w:rPr>
        <w:t>ed</w:t>
      </w:r>
      <w:r w:rsidR="002F0317" w:rsidRPr="00A90FA1">
        <w:rPr>
          <w:rFonts w:ascii="Bookman Old Style" w:eastAsia="Times New Roman" w:hAnsi="Bookman Old Style"/>
          <w:sz w:val="24"/>
          <w:szCs w:val="24"/>
        </w:rPr>
        <w:t xml:space="preserve"> from a debilitating psychiatric injury caused by his teaching. </w:t>
      </w:r>
    </w:p>
    <w:p w14:paraId="08EF7EEB" w14:textId="77777777" w:rsidR="002F0317" w:rsidRPr="00A90FA1" w:rsidRDefault="002F0317" w:rsidP="002F0317">
      <w:pPr>
        <w:jc w:val="both"/>
        <w:rPr>
          <w:rFonts w:ascii="Bookman Old Style" w:eastAsia="Times New Roman" w:hAnsi="Bookman Old Style"/>
          <w:sz w:val="24"/>
          <w:szCs w:val="24"/>
        </w:rPr>
      </w:pPr>
    </w:p>
    <w:p w14:paraId="66E4C287" w14:textId="77777777" w:rsidR="002F0317" w:rsidRPr="00A90FA1" w:rsidRDefault="002F0317" w:rsidP="002F0317">
      <w:pPr>
        <w:jc w:val="both"/>
        <w:rPr>
          <w:rFonts w:ascii="Bookman Old Style" w:eastAsia="Times New Roman" w:hAnsi="Bookman Old Style"/>
          <w:sz w:val="24"/>
          <w:szCs w:val="24"/>
        </w:rPr>
      </w:pPr>
    </w:p>
    <w:p w14:paraId="7107A7FB" w14:textId="60ACE5D0"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In 2014, he lost a part-time support teacher and his class numbers increased. </w:t>
      </w:r>
      <w:r w:rsidR="006F62C8" w:rsidRPr="00A90FA1">
        <w:rPr>
          <w:rFonts w:ascii="Bookman Old Style" w:eastAsia="Times New Roman" w:hAnsi="Bookman Old Style"/>
          <w:sz w:val="24"/>
          <w:szCs w:val="24"/>
        </w:rPr>
        <w:t xml:space="preserve"> </w:t>
      </w:r>
      <w:r w:rsidRPr="00A90FA1">
        <w:rPr>
          <w:rFonts w:ascii="Bookman Old Style" w:eastAsia="Times New Roman" w:hAnsi="Bookman Old Style"/>
          <w:sz w:val="24"/>
          <w:szCs w:val="24"/>
        </w:rPr>
        <w:t>He first sought treatment from his GP for stress in late 2014.</w:t>
      </w:r>
      <w:r w:rsidR="006F62C8" w:rsidRPr="00A90FA1">
        <w:rPr>
          <w:rFonts w:ascii="Bookman Old Style" w:eastAsia="Times New Roman" w:hAnsi="Bookman Old Style"/>
          <w:sz w:val="24"/>
          <w:szCs w:val="24"/>
        </w:rPr>
        <w:t xml:space="preserve"> </w:t>
      </w:r>
      <w:r w:rsidRPr="00A90FA1">
        <w:rPr>
          <w:rFonts w:ascii="Bookman Old Style" w:eastAsia="Times New Roman" w:hAnsi="Bookman Old Style"/>
          <w:sz w:val="24"/>
          <w:szCs w:val="24"/>
        </w:rPr>
        <w:t xml:space="preserve"> However, he made no complaints to management until May 2015. </w:t>
      </w:r>
    </w:p>
    <w:p w14:paraId="4DC43A73" w14:textId="77777777" w:rsidR="002F0317" w:rsidRPr="00A90FA1" w:rsidRDefault="002F0317" w:rsidP="002F0317">
      <w:pPr>
        <w:jc w:val="both"/>
        <w:rPr>
          <w:rFonts w:ascii="Bookman Old Style" w:eastAsia="Times New Roman" w:hAnsi="Bookman Old Style"/>
          <w:sz w:val="24"/>
          <w:szCs w:val="24"/>
        </w:rPr>
      </w:pPr>
    </w:p>
    <w:p w14:paraId="7C0327C3" w14:textId="77777777" w:rsidR="002F0317" w:rsidRPr="00A90FA1" w:rsidRDefault="002F0317" w:rsidP="002F0317">
      <w:pPr>
        <w:jc w:val="both"/>
        <w:rPr>
          <w:rFonts w:ascii="Bookman Old Style" w:eastAsia="Times New Roman" w:hAnsi="Bookman Old Style"/>
          <w:sz w:val="24"/>
          <w:szCs w:val="24"/>
        </w:rPr>
      </w:pPr>
    </w:p>
    <w:p w14:paraId="201969D0" w14:textId="178E5769"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The trial judge held that the school was entitled to proceed on the basis that the plaintiff was coping with his workload until he complained</w:t>
      </w:r>
      <w:r w:rsidR="00BA1CEA" w:rsidRPr="00A90FA1">
        <w:rPr>
          <w:rFonts w:ascii="Bookman Old Style" w:eastAsia="Times New Roman" w:hAnsi="Bookman Old Style"/>
          <w:sz w:val="24"/>
          <w:szCs w:val="24"/>
        </w:rPr>
        <w:t xml:space="preserve"> to them</w:t>
      </w:r>
      <w:r w:rsidRPr="00A90FA1">
        <w:rPr>
          <w:rFonts w:ascii="Bookman Old Style" w:eastAsia="Times New Roman" w:hAnsi="Bookman Old Style"/>
          <w:sz w:val="24"/>
          <w:szCs w:val="24"/>
        </w:rPr>
        <w:t xml:space="preserve"> in May 2015. </w:t>
      </w:r>
      <w:r w:rsidR="006F62C8" w:rsidRPr="00A90FA1">
        <w:rPr>
          <w:rFonts w:ascii="Bookman Old Style" w:eastAsia="Times New Roman" w:hAnsi="Bookman Old Style"/>
          <w:sz w:val="24"/>
          <w:szCs w:val="24"/>
        </w:rPr>
        <w:t xml:space="preserve"> </w:t>
      </w:r>
      <w:r w:rsidRPr="00A90FA1">
        <w:rPr>
          <w:rFonts w:ascii="Bookman Old Style" w:eastAsia="Times New Roman" w:hAnsi="Bookman Old Style"/>
          <w:sz w:val="24"/>
          <w:szCs w:val="24"/>
        </w:rPr>
        <w:t>At this time, the plaintiff was offered further assistance</w:t>
      </w:r>
      <w:r w:rsidR="00A67A94" w:rsidRPr="00A90FA1">
        <w:rPr>
          <w:rFonts w:ascii="Bookman Old Style" w:eastAsia="Times New Roman" w:hAnsi="Bookman Old Style"/>
          <w:sz w:val="24"/>
          <w:szCs w:val="24"/>
        </w:rPr>
        <w:t xml:space="preserve"> from the employer</w:t>
      </w:r>
      <w:r w:rsidRPr="00A90FA1">
        <w:rPr>
          <w:rFonts w:ascii="Bookman Old Style" w:eastAsia="Times New Roman" w:hAnsi="Bookman Old Style"/>
          <w:sz w:val="24"/>
          <w:szCs w:val="24"/>
        </w:rPr>
        <w:t xml:space="preserve">. </w:t>
      </w:r>
      <w:r w:rsidR="006F62C8" w:rsidRPr="00A90FA1">
        <w:rPr>
          <w:rFonts w:ascii="Bookman Old Style" w:eastAsia="Times New Roman" w:hAnsi="Bookman Old Style"/>
          <w:sz w:val="24"/>
          <w:szCs w:val="24"/>
        </w:rPr>
        <w:t xml:space="preserve"> </w:t>
      </w:r>
      <w:r w:rsidRPr="00A90FA1">
        <w:rPr>
          <w:rFonts w:ascii="Bookman Old Style" w:eastAsia="Times New Roman" w:hAnsi="Bookman Old Style"/>
          <w:sz w:val="24"/>
          <w:szCs w:val="24"/>
        </w:rPr>
        <w:t>Plans were put in place for him to take extended leave in 2016, but he could not continue and finished</w:t>
      </w:r>
      <w:r w:rsidR="00B15902" w:rsidRPr="00A90FA1">
        <w:rPr>
          <w:rFonts w:ascii="Bookman Old Style" w:eastAsia="Times New Roman" w:hAnsi="Bookman Old Style"/>
          <w:sz w:val="24"/>
          <w:szCs w:val="24"/>
        </w:rPr>
        <w:t xml:space="preserve"> work</w:t>
      </w:r>
      <w:r w:rsidRPr="00A90FA1">
        <w:rPr>
          <w:rFonts w:ascii="Bookman Old Style" w:eastAsia="Times New Roman" w:hAnsi="Bookman Old Style"/>
          <w:sz w:val="24"/>
          <w:szCs w:val="24"/>
        </w:rPr>
        <w:t xml:space="preserve"> in late 2015. </w:t>
      </w:r>
    </w:p>
    <w:p w14:paraId="09FD21B7" w14:textId="77777777" w:rsidR="002F0317" w:rsidRPr="00A90FA1" w:rsidRDefault="002F0317" w:rsidP="002F0317">
      <w:pPr>
        <w:jc w:val="both"/>
        <w:rPr>
          <w:rFonts w:ascii="Bookman Old Style" w:eastAsia="Times New Roman" w:hAnsi="Bookman Old Style"/>
          <w:sz w:val="24"/>
          <w:szCs w:val="24"/>
        </w:rPr>
      </w:pPr>
    </w:p>
    <w:p w14:paraId="4F031217" w14:textId="77777777" w:rsidR="002F0317" w:rsidRPr="00A90FA1" w:rsidRDefault="002F0317" w:rsidP="002F0317">
      <w:pPr>
        <w:jc w:val="both"/>
        <w:rPr>
          <w:rFonts w:ascii="Bookman Old Style" w:eastAsia="Times New Roman" w:hAnsi="Bookman Old Style"/>
          <w:sz w:val="24"/>
          <w:szCs w:val="24"/>
        </w:rPr>
      </w:pPr>
    </w:p>
    <w:p w14:paraId="43D9E76E" w14:textId="150F303A"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The trial judge relied on </w:t>
      </w:r>
      <w:r w:rsidRPr="00A90FA1">
        <w:rPr>
          <w:rFonts w:ascii="Bookman Old Style" w:eastAsia="Times New Roman" w:hAnsi="Bookman Old Style"/>
          <w:i/>
          <w:iCs/>
          <w:sz w:val="24"/>
          <w:szCs w:val="24"/>
        </w:rPr>
        <w:t>Koehler</w:t>
      </w:r>
      <w:r w:rsidRPr="00A90FA1">
        <w:rPr>
          <w:rFonts w:ascii="Bookman Old Style" w:eastAsia="Times New Roman" w:hAnsi="Bookman Old Style"/>
          <w:sz w:val="24"/>
          <w:szCs w:val="24"/>
        </w:rPr>
        <w:t xml:space="preserve"> and </w:t>
      </w:r>
      <w:r w:rsidR="00A67A94" w:rsidRPr="00A90FA1">
        <w:rPr>
          <w:rFonts w:ascii="Bookman Old Style" w:eastAsia="Times New Roman" w:hAnsi="Bookman Old Style"/>
          <w:sz w:val="24"/>
          <w:szCs w:val="24"/>
        </w:rPr>
        <w:t xml:space="preserve">looked to </w:t>
      </w:r>
      <w:r w:rsidRPr="00A90FA1">
        <w:rPr>
          <w:rFonts w:ascii="Bookman Old Style" w:eastAsia="Times New Roman" w:hAnsi="Bookman Old Style"/>
          <w:sz w:val="24"/>
          <w:szCs w:val="24"/>
        </w:rPr>
        <w:t xml:space="preserve">identifying warning signs of psychiatric injury </w:t>
      </w:r>
      <w:r w:rsidR="00AE5873" w:rsidRPr="00A90FA1">
        <w:rPr>
          <w:rFonts w:ascii="Bookman Old Style" w:eastAsia="Times New Roman" w:hAnsi="Bookman Old Style"/>
          <w:sz w:val="24"/>
          <w:szCs w:val="24"/>
        </w:rPr>
        <w:t xml:space="preserve">which might </w:t>
      </w:r>
      <w:r w:rsidRPr="00A90FA1">
        <w:rPr>
          <w:rFonts w:ascii="Bookman Old Style" w:eastAsia="Times New Roman" w:hAnsi="Bookman Old Style"/>
          <w:sz w:val="24"/>
          <w:szCs w:val="24"/>
        </w:rPr>
        <w:t xml:space="preserve">enliven a duty of care. </w:t>
      </w:r>
      <w:r w:rsidR="006F62C8" w:rsidRPr="00A90FA1">
        <w:rPr>
          <w:rFonts w:ascii="Bookman Old Style" w:eastAsia="Times New Roman" w:hAnsi="Bookman Old Style"/>
          <w:sz w:val="24"/>
          <w:szCs w:val="24"/>
        </w:rPr>
        <w:t xml:space="preserve"> </w:t>
      </w:r>
      <w:r w:rsidRPr="00A90FA1">
        <w:rPr>
          <w:rFonts w:ascii="Bookman Old Style" w:eastAsia="Times New Roman" w:hAnsi="Bookman Old Style"/>
          <w:sz w:val="24"/>
          <w:szCs w:val="24"/>
        </w:rPr>
        <w:t>The judge accepted that, by May 2015, injury was reasonably foreseeable</w:t>
      </w:r>
      <w:r w:rsidR="00A67A94" w:rsidRPr="00A90FA1">
        <w:rPr>
          <w:rFonts w:ascii="Bookman Old Style" w:eastAsia="Times New Roman" w:hAnsi="Bookman Old Style"/>
          <w:sz w:val="24"/>
          <w:szCs w:val="24"/>
        </w:rPr>
        <w:t>, but</w:t>
      </w:r>
      <w:r w:rsidRPr="00A90FA1">
        <w:rPr>
          <w:rFonts w:ascii="Bookman Old Style" w:eastAsia="Times New Roman" w:hAnsi="Bookman Old Style"/>
          <w:sz w:val="24"/>
          <w:szCs w:val="24"/>
        </w:rPr>
        <w:t xml:space="preserve"> that the school responded appropriately. Before then, the </w:t>
      </w:r>
      <w:r w:rsidR="006F62C8" w:rsidRPr="00A90FA1">
        <w:rPr>
          <w:rFonts w:ascii="Bookman Old Style" w:eastAsia="Times New Roman" w:hAnsi="Bookman Old Style"/>
          <w:sz w:val="24"/>
          <w:szCs w:val="24"/>
        </w:rPr>
        <w:t>employe</w:t>
      </w:r>
      <w:r w:rsidR="0049722B" w:rsidRPr="00A90FA1">
        <w:rPr>
          <w:rFonts w:ascii="Bookman Old Style" w:eastAsia="Times New Roman" w:hAnsi="Bookman Old Style"/>
          <w:sz w:val="24"/>
          <w:szCs w:val="24"/>
        </w:rPr>
        <w:t>r</w:t>
      </w:r>
      <w:r w:rsidRPr="00A90FA1">
        <w:rPr>
          <w:rFonts w:ascii="Bookman Old Style" w:eastAsia="Times New Roman" w:hAnsi="Bookman Old Style"/>
          <w:sz w:val="24"/>
          <w:szCs w:val="24"/>
        </w:rPr>
        <w:t xml:space="preserve"> was entitled to proceed on the basis that the plaintiff could do the work he was assigned, with </w:t>
      </w:r>
      <w:r w:rsidR="00A67A94" w:rsidRPr="00A90FA1">
        <w:rPr>
          <w:rFonts w:ascii="Bookman Old Style" w:eastAsia="Times New Roman" w:hAnsi="Bookman Old Style"/>
          <w:sz w:val="24"/>
          <w:szCs w:val="24"/>
        </w:rPr>
        <w:t>nothing</w:t>
      </w:r>
      <w:r w:rsidRPr="00A90FA1">
        <w:rPr>
          <w:rFonts w:ascii="Bookman Old Style" w:eastAsia="Times New Roman" w:hAnsi="Bookman Old Style"/>
          <w:sz w:val="24"/>
          <w:szCs w:val="24"/>
        </w:rPr>
        <w:t xml:space="preserve"> to suggest otherwise. </w:t>
      </w:r>
    </w:p>
    <w:p w14:paraId="19903018" w14:textId="77777777" w:rsidR="002F0317" w:rsidRPr="00A90FA1" w:rsidRDefault="002F0317" w:rsidP="002F0317">
      <w:pPr>
        <w:jc w:val="both"/>
        <w:rPr>
          <w:rFonts w:ascii="Bookman Old Style" w:eastAsia="Times New Roman" w:hAnsi="Bookman Old Style"/>
          <w:sz w:val="24"/>
          <w:szCs w:val="24"/>
        </w:rPr>
      </w:pPr>
    </w:p>
    <w:p w14:paraId="4B91C6FC" w14:textId="77777777" w:rsidR="002F0317" w:rsidRPr="00A90FA1" w:rsidRDefault="002F0317" w:rsidP="002F0317">
      <w:pPr>
        <w:jc w:val="both"/>
        <w:rPr>
          <w:rFonts w:ascii="Bookman Old Style" w:eastAsia="Times New Roman" w:hAnsi="Bookman Old Style"/>
          <w:sz w:val="24"/>
          <w:szCs w:val="24"/>
        </w:rPr>
      </w:pPr>
    </w:p>
    <w:p w14:paraId="5A97CF1C" w14:textId="77777777" w:rsidR="00A25B03"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On appeal, the plaintiff pointed to </w:t>
      </w:r>
      <w:r w:rsidRPr="00A90FA1">
        <w:rPr>
          <w:rFonts w:ascii="Bookman Old Style" w:eastAsia="Times New Roman" w:hAnsi="Bookman Old Style"/>
          <w:i/>
          <w:iCs/>
          <w:sz w:val="24"/>
          <w:szCs w:val="24"/>
        </w:rPr>
        <w:t>Kozarov</w:t>
      </w:r>
      <w:r w:rsidRPr="00A90FA1">
        <w:rPr>
          <w:rFonts w:ascii="Bookman Old Style" w:eastAsia="Times New Roman" w:hAnsi="Bookman Old Style"/>
          <w:sz w:val="24"/>
          <w:szCs w:val="24"/>
        </w:rPr>
        <w:t xml:space="preserve"> and said that the duty of care existed from the outset of </w:t>
      </w:r>
      <w:r w:rsidR="006F62C8" w:rsidRPr="00A90FA1">
        <w:rPr>
          <w:rFonts w:ascii="Bookman Old Style" w:eastAsia="Times New Roman" w:hAnsi="Bookman Old Style"/>
          <w:sz w:val="24"/>
          <w:szCs w:val="24"/>
        </w:rPr>
        <w:t>employment</w:t>
      </w:r>
      <w:r w:rsidRPr="00A90FA1">
        <w:rPr>
          <w:rFonts w:ascii="Bookman Old Style" w:eastAsia="Times New Roman" w:hAnsi="Bookman Old Style"/>
          <w:sz w:val="24"/>
          <w:szCs w:val="24"/>
        </w:rPr>
        <w:t xml:space="preserve">, moving away from the need to identify </w:t>
      </w:r>
      <w:proofErr w:type="gramStart"/>
      <w:r w:rsidRPr="00A90FA1">
        <w:rPr>
          <w:rFonts w:ascii="Bookman Old Style" w:eastAsia="Times New Roman" w:hAnsi="Bookman Old Style"/>
          <w:sz w:val="24"/>
          <w:szCs w:val="24"/>
        </w:rPr>
        <w:t>particular warning</w:t>
      </w:r>
      <w:proofErr w:type="gramEnd"/>
      <w:r w:rsidRPr="00A90FA1">
        <w:rPr>
          <w:rFonts w:ascii="Bookman Old Style" w:eastAsia="Times New Roman" w:hAnsi="Bookman Old Style"/>
          <w:sz w:val="24"/>
          <w:szCs w:val="24"/>
        </w:rPr>
        <w:t xml:space="preserve"> signs. </w:t>
      </w:r>
    </w:p>
    <w:p w14:paraId="1DE2E993" w14:textId="77777777" w:rsidR="00A25B03" w:rsidRPr="00A90FA1" w:rsidRDefault="00A25B03" w:rsidP="002F0317">
      <w:pPr>
        <w:jc w:val="both"/>
        <w:rPr>
          <w:rFonts w:ascii="Bookman Old Style" w:eastAsia="Times New Roman" w:hAnsi="Bookman Old Style"/>
          <w:sz w:val="24"/>
          <w:szCs w:val="24"/>
        </w:rPr>
      </w:pPr>
    </w:p>
    <w:p w14:paraId="328B8937" w14:textId="6CA18F44" w:rsidR="002F0317" w:rsidRPr="00A90FA1" w:rsidRDefault="00A25B03"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While</w:t>
      </w:r>
      <w:r w:rsidR="002F0317" w:rsidRPr="00A90FA1">
        <w:rPr>
          <w:rFonts w:ascii="Bookman Old Style" w:eastAsia="Times New Roman" w:hAnsi="Bookman Old Style"/>
          <w:sz w:val="24"/>
          <w:szCs w:val="24"/>
        </w:rPr>
        <w:t xml:space="preserve"> </w:t>
      </w:r>
      <w:r w:rsidR="0039105E" w:rsidRPr="00A90FA1">
        <w:rPr>
          <w:rFonts w:ascii="Bookman Old Style" w:eastAsia="Times New Roman" w:hAnsi="Bookman Old Style"/>
          <w:sz w:val="24"/>
          <w:szCs w:val="24"/>
        </w:rPr>
        <w:t xml:space="preserve">the </w:t>
      </w:r>
      <w:r w:rsidR="002F0317" w:rsidRPr="00A90FA1">
        <w:rPr>
          <w:rFonts w:ascii="Bookman Old Style" w:eastAsia="Times New Roman" w:hAnsi="Bookman Old Style"/>
          <w:sz w:val="24"/>
          <w:szCs w:val="24"/>
        </w:rPr>
        <w:t xml:space="preserve">defendant accepted that a duty of care existed throughout employment generally, </w:t>
      </w:r>
      <w:r w:rsidR="00A33B24" w:rsidRPr="00A90FA1">
        <w:rPr>
          <w:rFonts w:ascii="Bookman Old Style" w:eastAsia="Times New Roman" w:hAnsi="Bookman Old Style"/>
          <w:sz w:val="24"/>
          <w:szCs w:val="24"/>
        </w:rPr>
        <w:t xml:space="preserve">it </w:t>
      </w:r>
      <w:r w:rsidR="002F0317" w:rsidRPr="00A90FA1">
        <w:rPr>
          <w:rFonts w:ascii="Bookman Old Style" w:eastAsia="Times New Roman" w:hAnsi="Bookman Old Style"/>
          <w:sz w:val="24"/>
          <w:szCs w:val="24"/>
        </w:rPr>
        <w:t>s</w:t>
      </w:r>
      <w:r w:rsidR="00A33B24" w:rsidRPr="00A90FA1">
        <w:rPr>
          <w:rFonts w:ascii="Bookman Old Style" w:eastAsia="Times New Roman" w:hAnsi="Bookman Old Style"/>
          <w:sz w:val="24"/>
          <w:szCs w:val="24"/>
        </w:rPr>
        <w:t>ubmitted</w:t>
      </w:r>
      <w:r w:rsidR="002F0317" w:rsidRPr="00A90FA1">
        <w:rPr>
          <w:rFonts w:ascii="Bookman Old Style" w:eastAsia="Times New Roman" w:hAnsi="Bookman Old Style"/>
          <w:sz w:val="24"/>
          <w:szCs w:val="24"/>
        </w:rPr>
        <w:t xml:space="preserve"> that a relevant duty was not enlivened </w:t>
      </w:r>
      <w:r w:rsidR="00A33B24" w:rsidRPr="00A90FA1">
        <w:rPr>
          <w:rFonts w:ascii="Bookman Old Style" w:eastAsia="Times New Roman" w:hAnsi="Bookman Old Style"/>
          <w:sz w:val="24"/>
          <w:szCs w:val="24"/>
        </w:rPr>
        <w:t xml:space="preserve">until May 2015, </w:t>
      </w:r>
      <w:r w:rsidR="002F0317" w:rsidRPr="00A90FA1">
        <w:rPr>
          <w:rFonts w:ascii="Bookman Old Style" w:eastAsia="Times New Roman" w:hAnsi="Bookman Old Style"/>
          <w:sz w:val="24"/>
          <w:szCs w:val="24"/>
        </w:rPr>
        <w:t xml:space="preserve">as there was no foreseeable risk of injury. </w:t>
      </w:r>
    </w:p>
    <w:p w14:paraId="2E1BCA63" w14:textId="77777777" w:rsidR="002F0317" w:rsidRPr="00A90FA1" w:rsidRDefault="002F0317" w:rsidP="002F0317">
      <w:pPr>
        <w:jc w:val="both"/>
        <w:rPr>
          <w:rFonts w:ascii="Bookman Old Style" w:eastAsia="Times New Roman" w:hAnsi="Bookman Old Style"/>
          <w:sz w:val="24"/>
          <w:szCs w:val="24"/>
        </w:rPr>
      </w:pPr>
    </w:p>
    <w:p w14:paraId="7B3015C6" w14:textId="77777777" w:rsidR="002F0317" w:rsidRPr="00A90FA1" w:rsidRDefault="002F0317" w:rsidP="002F0317">
      <w:pPr>
        <w:jc w:val="both"/>
        <w:rPr>
          <w:rFonts w:ascii="Bookman Old Style" w:eastAsia="Times New Roman" w:hAnsi="Bookman Old Style"/>
          <w:sz w:val="24"/>
          <w:szCs w:val="24"/>
        </w:rPr>
      </w:pPr>
    </w:p>
    <w:p w14:paraId="7EC036A6" w14:textId="6266DFCF" w:rsidR="002F0317" w:rsidRPr="00A90FA1" w:rsidRDefault="002F03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The Court of Appeal found that </w:t>
      </w:r>
      <w:r w:rsidRPr="00A90FA1">
        <w:rPr>
          <w:rFonts w:ascii="Bookman Old Style" w:eastAsia="Times New Roman" w:hAnsi="Bookman Old Style"/>
          <w:i/>
          <w:iCs/>
          <w:sz w:val="24"/>
          <w:szCs w:val="24"/>
        </w:rPr>
        <w:t>Kozarov</w:t>
      </w:r>
      <w:r w:rsidRPr="00A90FA1">
        <w:rPr>
          <w:rFonts w:ascii="Bookman Old Style" w:eastAsia="Times New Roman" w:hAnsi="Bookman Old Style"/>
          <w:sz w:val="24"/>
          <w:szCs w:val="24"/>
        </w:rPr>
        <w:t xml:space="preserve"> did not change the principles espoused in </w:t>
      </w:r>
      <w:r w:rsidRPr="00A90FA1">
        <w:rPr>
          <w:rFonts w:ascii="Bookman Old Style" w:eastAsia="Times New Roman" w:hAnsi="Bookman Old Style"/>
          <w:i/>
          <w:iCs/>
          <w:sz w:val="24"/>
          <w:szCs w:val="24"/>
        </w:rPr>
        <w:t>Koehler</w:t>
      </w:r>
      <w:r w:rsidRPr="00A90FA1">
        <w:rPr>
          <w:rFonts w:ascii="Bookman Old Style" w:eastAsia="Times New Roman" w:hAnsi="Bookman Old Style"/>
          <w:sz w:val="24"/>
          <w:szCs w:val="24"/>
        </w:rPr>
        <w:t xml:space="preserve">. They were two ends of the same spectrum. In </w:t>
      </w:r>
      <w:r w:rsidRPr="00A90FA1">
        <w:rPr>
          <w:rFonts w:ascii="Bookman Old Style" w:eastAsia="Times New Roman" w:hAnsi="Bookman Old Style"/>
          <w:i/>
          <w:iCs/>
          <w:sz w:val="24"/>
          <w:szCs w:val="24"/>
        </w:rPr>
        <w:t>Kozarov</w:t>
      </w:r>
      <w:r w:rsidRPr="00A90FA1">
        <w:rPr>
          <w:rFonts w:ascii="Bookman Old Style" w:eastAsia="Times New Roman" w:hAnsi="Bookman Old Style"/>
          <w:sz w:val="24"/>
          <w:szCs w:val="24"/>
        </w:rPr>
        <w:t xml:space="preserve">, the risk of injury to the plaintiff was well understood by the employer from the outset of her employment because of the </w:t>
      </w:r>
      <w:proofErr w:type="gramStart"/>
      <w:r w:rsidRPr="00A90FA1">
        <w:rPr>
          <w:rFonts w:ascii="Bookman Old Style" w:eastAsia="Times New Roman" w:hAnsi="Bookman Old Style"/>
          <w:sz w:val="24"/>
          <w:szCs w:val="24"/>
        </w:rPr>
        <w:t>particular prosecuting</w:t>
      </w:r>
      <w:proofErr w:type="gramEnd"/>
      <w:r w:rsidRPr="00A90FA1">
        <w:rPr>
          <w:rFonts w:ascii="Bookman Old Style" w:eastAsia="Times New Roman" w:hAnsi="Bookman Old Style"/>
          <w:sz w:val="24"/>
          <w:szCs w:val="24"/>
        </w:rPr>
        <w:t xml:space="preserve"> work she was required to do. </w:t>
      </w:r>
      <w:r w:rsidR="006F62C8" w:rsidRPr="00A90FA1">
        <w:rPr>
          <w:rFonts w:ascii="Bookman Old Style" w:eastAsia="Times New Roman" w:hAnsi="Bookman Old Style"/>
          <w:sz w:val="24"/>
          <w:szCs w:val="24"/>
        </w:rPr>
        <w:t xml:space="preserve"> </w:t>
      </w:r>
      <w:r w:rsidRPr="00A90FA1">
        <w:rPr>
          <w:rFonts w:ascii="Bookman Old Style" w:eastAsia="Times New Roman" w:hAnsi="Bookman Old Style"/>
          <w:sz w:val="24"/>
          <w:szCs w:val="24"/>
        </w:rPr>
        <w:t xml:space="preserve">She did not have to point to </w:t>
      </w:r>
      <w:proofErr w:type="gramStart"/>
      <w:r w:rsidRPr="00A90FA1">
        <w:rPr>
          <w:rFonts w:ascii="Bookman Old Style" w:eastAsia="Times New Roman" w:hAnsi="Bookman Old Style"/>
          <w:sz w:val="24"/>
          <w:szCs w:val="24"/>
        </w:rPr>
        <w:t>particular events</w:t>
      </w:r>
      <w:proofErr w:type="gramEnd"/>
      <w:r w:rsidRPr="00A90FA1">
        <w:rPr>
          <w:rFonts w:ascii="Bookman Old Style" w:eastAsia="Times New Roman" w:hAnsi="Bookman Old Style"/>
          <w:sz w:val="24"/>
          <w:szCs w:val="24"/>
        </w:rPr>
        <w:t xml:space="preserve"> in the context of her case</w:t>
      </w:r>
      <w:r w:rsidR="005B4078" w:rsidRPr="00A90FA1">
        <w:rPr>
          <w:rFonts w:ascii="Bookman Old Style" w:eastAsia="Times New Roman" w:hAnsi="Bookman Old Style"/>
          <w:sz w:val="24"/>
          <w:szCs w:val="24"/>
        </w:rPr>
        <w:t xml:space="preserve"> and did not have to show signs of psychiatric injury for a duty of care to be enlivened</w:t>
      </w:r>
      <w:r w:rsidRPr="00A90FA1">
        <w:rPr>
          <w:rFonts w:ascii="Bookman Old Style" w:eastAsia="Times New Roman" w:hAnsi="Bookman Old Style"/>
          <w:sz w:val="24"/>
          <w:szCs w:val="24"/>
        </w:rPr>
        <w:t xml:space="preserve">. </w:t>
      </w:r>
      <w:r w:rsidR="002C0FEC" w:rsidRPr="00A90FA1">
        <w:rPr>
          <w:rFonts w:ascii="Bookman Old Style" w:eastAsia="Times New Roman" w:hAnsi="Bookman Old Style"/>
          <w:sz w:val="24"/>
          <w:szCs w:val="24"/>
        </w:rPr>
        <w:t xml:space="preserve"> </w:t>
      </w:r>
      <w:r w:rsidRPr="00A90FA1">
        <w:rPr>
          <w:rFonts w:ascii="Bookman Old Style" w:eastAsia="Times New Roman" w:hAnsi="Bookman Old Style"/>
          <w:sz w:val="24"/>
          <w:szCs w:val="24"/>
        </w:rPr>
        <w:t xml:space="preserve">But in this case, like </w:t>
      </w:r>
      <w:r w:rsidRPr="00A90FA1">
        <w:rPr>
          <w:rFonts w:ascii="Bookman Old Style" w:eastAsia="Times New Roman" w:hAnsi="Bookman Old Style"/>
          <w:i/>
          <w:iCs/>
          <w:sz w:val="24"/>
          <w:szCs w:val="24"/>
        </w:rPr>
        <w:t>Koehler</w:t>
      </w:r>
      <w:r w:rsidR="002C0FEC" w:rsidRPr="00A90FA1">
        <w:rPr>
          <w:rFonts w:ascii="Bookman Old Style" w:eastAsia="Times New Roman" w:hAnsi="Bookman Old Style"/>
          <w:sz w:val="24"/>
          <w:szCs w:val="24"/>
        </w:rPr>
        <w:t>,</w:t>
      </w:r>
      <w:r w:rsidRPr="00A90FA1">
        <w:rPr>
          <w:rFonts w:ascii="Bookman Old Style" w:eastAsia="Times New Roman" w:hAnsi="Bookman Old Style"/>
          <w:sz w:val="24"/>
          <w:szCs w:val="24"/>
        </w:rPr>
        <w:t xml:space="preserve"> </w:t>
      </w:r>
      <w:r w:rsidR="00F072B0" w:rsidRPr="00A90FA1">
        <w:rPr>
          <w:rFonts w:ascii="Bookman Old Style" w:eastAsia="Times New Roman" w:hAnsi="Bookman Old Style"/>
          <w:sz w:val="24"/>
          <w:szCs w:val="24"/>
        </w:rPr>
        <w:t>there was nothing particular about this teacher’s work that made psychiatric injury reasonably foreseeable</w:t>
      </w:r>
      <w:r w:rsidR="00C14532" w:rsidRPr="00A90FA1">
        <w:rPr>
          <w:rFonts w:ascii="Bookman Old Style" w:eastAsia="Times New Roman" w:hAnsi="Bookman Old Style"/>
          <w:sz w:val="24"/>
          <w:szCs w:val="24"/>
        </w:rPr>
        <w:t xml:space="preserve"> in the absence of complaints or other signposts of psychiatric injury</w:t>
      </w:r>
      <w:r w:rsidRPr="00A90FA1">
        <w:rPr>
          <w:rFonts w:ascii="Bookman Old Style" w:eastAsia="Times New Roman" w:hAnsi="Bookman Old Style"/>
          <w:sz w:val="24"/>
          <w:szCs w:val="24"/>
        </w:rPr>
        <w:t>.</w:t>
      </w:r>
      <w:r w:rsidR="006D35C3" w:rsidRPr="00A90FA1">
        <w:rPr>
          <w:rFonts w:ascii="Bookman Old Style" w:eastAsia="Times New Roman" w:hAnsi="Bookman Old Style"/>
          <w:sz w:val="24"/>
          <w:szCs w:val="24"/>
        </w:rPr>
        <w:t xml:space="preserve">  Once injury became foreseeable from complaint, the employer acted reasonably. </w:t>
      </w:r>
      <w:r w:rsidRPr="00A90FA1">
        <w:rPr>
          <w:rFonts w:ascii="Bookman Old Style" w:eastAsia="Times New Roman" w:hAnsi="Bookman Old Style"/>
          <w:sz w:val="24"/>
          <w:szCs w:val="24"/>
        </w:rPr>
        <w:t xml:space="preserve"> </w:t>
      </w:r>
    </w:p>
    <w:p w14:paraId="3E142E89" w14:textId="77777777" w:rsidR="0036787C" w:rsidRPr="00A90FA1" w:rsidRDefault="0036787C" w:rsidP="002F0317">
      <w:pPr>
        <w:jc w:val="both"/>
        <w:rPr>
          <w:rFonts w:ascii="Bookman Old Style" w:eastAsia="Times New Roman" w:hAnsi="Bookman Old Style"/>
          <w:sz w:val="24"/>
          <w:szCs w:val="24"/>
        </w:rPr>
      </w:pPr>
    </w:p>
    <w:p w14:paraId="5D6AB085" w14:textId="28422F15" w:rsidR="0036787C" w:rsidRPr="00A90FA1" w:rsidRDefault="003F5F50"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The plaintiff</w:t>
      </w:r>
      <w:r w:rsidR="0036787C" w:rsidRPr="00A90FA1">
        <w:rPr>
          <w:rFonts w:ascii="Bookman Old Style" w:eastAsia="Times New Roman" w:hAnsi="Bookman Old Style"/>
          <w:sz w:val="24"/>
          <w:szCs w:val="24"/>
        </w:rPr>
        <w:t xml:space="preserve"> lost his appeal. </w:t>
      </w:r>
    </w:p>
    <w:p w14:paraId="2EFD89E6" w14:textId="77777777" w:rsidR="002F0317" w:rsidRPr="00A90FA1" w:rsidRDefault="002F0317" w:rsidP="002F0317">
      <w:pPr>
        <w:jc w:val="both"/>
        <w:rPr>
          <w:rFonts w:ascii="Bookman Old Style" w:eastAsia="Times New Roman" w:hAnsi="Bookman Old Style"/>
          <w:sz w:val="24"/>
          <w:szCs w:val="24"/>
        </w:rPr>
      </w:pPr>
    </w:p>
    <w:p w14:paraId="4F9FFF51" w14:textId="77777777" w:rsidR="002F0317" w:rsidRPr="00A90FA1" w:rsidRDefault="002F0317" w:rsidP="002F0317">
      <w:pPr>
        <w:jc w:val="both"/>
        <w:rPr>
          <w:rFonts w:ascii="Bookman Old Style" w:eastAsia="Times New Roman" w:hAnsi="Bookman Old Style"/>
          <w:sz w:val="24"/>
          <w:szCs w:val="24"/>
        </w:rPr>
      </w:pPr>
    </w:p>
    <w:p w14:paraId="7FB80AE6" w14:textId="3E2508DA" w:rsidR="001C0C95" w:rsidRPr="00A90FA1" w:rsidRDefault="00A90FA1"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So,</w:t>
      </w:r>
      <w:r w:rsidR="002F0317" w:rsidRPr="00A90FA1">
        <w:rPr>
          <w:rFonts w:ascii="Bookman Old Style" w:eastAsia="Times New Roman" w:hAnsi="Bookman Old Style"/>
          <w:sz w:val="24"/>
          <w:szCs w:val="24"/>
        </w:rPr>
        <w:t xml:space="preserve"> it seems that one must consider in employment cases of this sort, first, the nature of employment</w:t>
      </w:r>
      <w:r w:rsidR="007B7439" w:rsidRPr="00A90FA1">
        <w:rPr>
          <w:rFonts w:ascii="Bookman Old Style" w:eastAsia="Times New Roman" w:hAnsi="Bookman Old Style"/>
          <w:sz w:val="24"/>
          <w:szCs w:val="24"/>
        </w:rPr>
        <w:t xml:space="preserve"> and inherent risks to a person’s mental health</w:t>
      </w:r>
      <w:r w:rsidR="00506515" w:rsidRPr="00A90FA1">
        <w:rPr>
          <w:rFonts w:ascii="Bookman Old Style" w:eastAsia="Times New Roman" w:hAnsi="Bookman Old Style"/>
          <w:sz w:val="24"/>
          <w:szCs w:val="24"/>
        </w:rPr>
        <w:t xml:space="preserve"> f</w:t>
      </w:r>
      <w:r w:rsidR="00C407BC" w:rsidRPr="00A90FA1">
        <w:rPr>
          <w:rFonts w:ascii="Bookman Old Style" w:eastAsia="Times New Roman" w:hAnsi="Bookman Old Style"/>
          <w:sz w:val="24"/>
          <w:szCs w:val="24"/>
        </w:rPr>
        <w:t>rom</w:t>
      </w:r>
      <w:r w:rsidR="00506515" w:rsidRPr="00A90FA1">
        <w:rPr>
          <w:rFonts w:ascii="Bookman Old Style" w:eastAsia="Times New Roman" w:hAnsi="Bookman Old Style"/>
          <w:sz w:val="24"/>
          <w:szCs w:val="24"/>
        </w:rPr>
        <w:t xml:space="preserve"> their job or </w:t>
      </w:r>
      <w:r w:rsidR="007E6C05" w:rsidRPr="00A90FA1">
        <w:rPr>
          <w:rFonts w:ascii="Bookman Old Style" w:eastAsia="Times New Roman" w:hAnsi="Bookman Old Style"/>
          <w:sz w:val="24"/>
          <w:szCs w:val="24"/>
        </w:rPr>
        <w:t xml:space="preserve">even discrete </w:t>
      </w:r>
      <w:r w:rsidR="00506515" w:rsidRPr="00A90FA1">
        <w:rPr>
          <w:rFonts w:ascii="Bookman Old Style" w:eastAsia="Times New Roman" w:hAnsi="Bookman Old Style"/>
          <w:sz w:val="24"/>
          <w:szCs w:val="24"/>
        </w:rPr>
        <w:t>tasks</w:t>
      </w:r>
      <w:r w:rsidR="007B7439" w:rsidRPr="00A90FA1">
        <w:rPr>
          <w:rFonts w:ascii="Bookman Old Style" w:eastAsia="Times New Roman" w:hAnsi="Bookman Old Style"/>
          <w:sz w:val="24"/>
          <w:szCs w:val="24"/>
        </w:rPr>
        <w:t>,</w:t>
      </w:r>
      <w:r w:rsidR="002F0317" w:rsidRPr="00A90FA1">
        <w:rPr>
          <w:rFonts w:ascii="Bookman Old Style" w:eastAsia="Times New Roman" w:hAnsi="Bookman Old Style"/>
          <w:sz w:val="24"/>
          <w:szCs w:val="24"/>
        </w:rPr>
        <w:t xml:space="preserve"> and, if </w:t>
      </w:r>
      <w:r w:rsidR="007B7439" w:rsidRPr="00A90FA1">
        <w:rPr>
          <w:rFonts w:ascii="Bookman Old Style" w:eastAsia="Times New Roman" w:hAnsi="Bookman Old Style"/>
          <w:sz w:val="24"/>
          <w:szCs w:val="24"/>
        </w:rPr>
        <w:t xml:space="preserve">it is </w:t>
      </w:r>
      <w:r w:rsidR="002F0317" w:rsidRPr="00A90FA1">
        <w:rPr>
          <w:rFonts w:ascii="Bookman Old Style" w:eastAsia="Times New Roman" w:hAnsi="Bookman Old Style"/>
          <w:sz w:val="24"/>
          <w:szCs w:val="24"/>
        </w:rPr>
        <w:t>not inherently dangerous, then whether there were particular events</w:t>
      </w:r>
      <w:r w:rsidR="005E5C26" w:rsidRPr="00A90FA1">
        <w:rPr>
          <w:rFonts w:ascii="Bookman Old Style" w:eastAsia="Times New Roman" w:hAnsi="Bookman Old Style"/>
          <w:sz w:val="24"/>
          <w:szCs w:val="24"/>
        </w:rPr>
        <w:t xml:space="preserve"> or warning signs</w:t>
      </w:r>
      <w:r w:rsidR="002F0317" w:rsidRPr="00A90FA1">
        <w:rPr>
          <w:rFonts w:ascii="Bookman Old Style" w:eastAsia="Times New Roman" w:hAnsi="Bookman Old Style"/>
          <w:sz w:val="24"/>
          <w:szCs w:val="24"/>
        </w:rPr>
        <w:t xml:space="preserve"> alerting the employer to a risk of psychiatric injury</w:t>
      </w:r>
      <w:r w:rsidR="003F5F50" w:rsidRPr="00A90FA1">
        <w:rPr>
          <w:rFonts w:ascii="Bookman Old Style" w:eastAsia="Times New Roman" w:hAnsi="Bookman Old Style"/>
          <w:sz w:val="24"/>
          <w:szCs w:val="24"/>
        </w:rPr>
        <w:t xml:space="preserve"> of a plaintiff</w:t>
      </w:r>
      <w:r w:rsidR="002F0317" w:rsidRPr="00A90FA1">
        <w:rPr>
          <w:rFonts w:ascii="Bookman Old Style" w:eastAsia="Times New Roman" w:hAnsi="Bookman Old Style"/>
          <w:sz w:val="24"/>
          <w:szCs w:val="24"/>
        </w:rPr>
        <w:t>.</w:t>
      </w:r>
      <w:r w:rsidR="003F5F50" w:rsidRPr="00A90FA1">
        <w:rPr>
          <w:rFonts w:ascii="Bookman Old Style" w:eastAsia="Times New Roman" w:hAnsi="Bookman Old Style"/>
          <w:sz w:val="24"/>
          <w:szCs w:val="24"/>
        </w:rPr>
        <w:t xml:space="preserve">  </w:t>
      </w:r>
      <w:r w:rsidR="00063B6F" w:rsidRPr="00A90FA1">
        <w:rPr>
          <w:rFonts w:ascii="Bookman Old Style" w:eastAsia="Times New Roman" w:hAnsi="Bookman Old Style"/>
          <w:sz w:val="24"/>
          <w:szCs w:val="24"/>
        </w:rPr>
        <w:t>If that can be established, t</w:t>
      </w:r>
      <w:r w:rsidR="003F5F50" w:rsidRPr="00A90FA1">
        <w:rPr>
          <w:rFonts w:ascii="Bookman Old Style" w:eastAsia="Times New Roman" w:hAnsi="Bookman Old Style"/>
          <w:sz w:val="24"/>
          <w:szCs w:val="24"/>
        </w:rPr>
        <w:t xml:space="preserve">hen one turns to </w:t>
      </w:r>
      <w:r w:rsidR="004B5AAC" w:rsidRPr="00A90FA1">
        <w:rPr>
          <w:rFonts w:ascii="Bookman Old Style" w:eastAsia="Times New Roman" w:hAnsi="Bookman Old Style"/>
          <w:sz w:val="24"/>
          <w:szCs w:val="24"/>
        </w:rPr>
        <w:t>whether there was a reasonable response</w:t>
      </w:r>
      <w:r w:rsidR="000D5201" w:rsidRPr="00A90FA1">
        <w:rPr>
          <w:rFonts w:ascii="Bookman Old Style" w:eastAsia="Times New Roman" w:hAnsi="Bookman Old Style"/>
          <w:sz w:val="24"/>
          <w:szCs w:val="24"/>
        </w:rPr>
        <w:t xml:space="preserve"> by the employer to the risk of harm</w:t>
      </w:r>
      <w:r w:rsidR="003F5F50" w:rsidRPr="00A90FA1">
        <w:rPr>
          <w:rFonts w:ascii="Bookman Old Style" w:eastAsia="Times New Roman" w:hAnsi="Bookman Old Style"/>
          <w:sz w:val="24"/>
          <w:szCs w:val="24"/>
        </w:rPr>
        <w:t>.</w:t>
      </w:r>
    </w:p>
    <w:p w14:paraId="23A93C96" w14:textId="77777777" w:rsidR="001C0C95" w:rsidRPr="00A90FA1" w:rsidRDefault="001C0C95" w:rsidP="002F0317">
      <w:pPr>
        <w:jc w:val="both"/>
        <w:rPr>
          <w:rFonts w:ascii="Bookman Old Style" w:eastAsia="Times New Roman" w:hAnsi="Bookman Old Style"/>
          <w:sz w:val="24"/>
          <w:szCs w:val="24"/>
        </w:rPr>
      </w:pPr>
    </w:p>
    <w:p w14:paraId="48129A32" w14:textId="528717CF" w:rsidR="002F0317" w:rsidRPr="00A90FA1" w:rsidRDefault="003F5F50"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 </w:t>
      </w:r>
      <w:r w:rsidR="002F0317" w:rsidRPr="00A90FA1">
        <w:rPr>
          <w:rFonts w:ascii="Bookman Old Style" w:eastAsia="Times New Roman" w:hAnsi="Bookman Old Style"/>
          <w:sz w:val="24"/>
          <w:szCs w:val="24"/>
        </w:rPr>
        <w:t xml:space="preserve"> </w:t>
      </w:r>
    </w:p>
    <w:p w14:paraId="5DD10DC9" w14:textId="77777777" w:rsidR="00141412" w:rsidRPr="00A90FA1" w:rsidRDefault="00141412" w:rsidP="002F0317">
      <w:pPr>
        <w:jc w:val="both"/>
        <w:rPr>
          <w:rFonts w:ascii="Bookman Old Style" w:eastAsia="Times New Roman" w:hAnsi="Bookman Old Style"/>
          <w:sz w:val="24"/>
          <w:szCs w:val="24"/>
        </w:rPr>
      </w:pPr>
    </w:p>
    <w:p w14:paraId="0CFCFA9B" w14:textId="4AECEF78" w:rsidR="00141412" w:rsidRPr="00A90FA1" w:rsidRDefault="003D022B" w:rsidP="002F0317">
      <w:pPr>
        <w:jc w:val="both"/>
        <w:rPr>
          <w:rFonts w:ascii="Bookman Old Style" w:eastAsia="Times New Roman" w:hAnsi="Bookman Old Style"/>
          <w:sz w:val="24"/>
          <w:szCs w:val="24"/>
        </w:rPr>
      </w:pPr>
      <w:r w:rsidRPr="00A90FA1">
        <w:rPr>
          <w:rFonts w:ascii="Bookman Old Style" w:eastAsia="Times New Roman" w:hAnsi="Bookman Old Style"/>
          <w:b/>
          <w:bCs/>
          <w:sz w:val="24"/>
          <w:szCs w:val="24"/>
        </w:rPr>
        <w:t xml:space="preserve">Summing up </w:t>
      </w:r>
    </w:p>
    <w:p w14:paraId="18C5CEE1" w14:textId="1115802B" w:rsidR="003D022B" w:rsidRPr="00A90FA1" w:rsidRDefault="003D022B" w:rsidP="002F0317">
      <w:pPr>
        <w:jc w:val="both"/>
        <w:rPr>
          <w:rFonts w:ascii="Bookman Old Style" w:eastAsia="Times New Roman" w:hAnsi="Bookman Old Style"/>
          <w:sz w:val="24"/>
          <w:szCs w:val="24"/>
        </w:rPr>
      </w:pPr>
    </w:p>
    <w:p w14:paraId="12183F6E" w14:textId="77777777" w:rsidR="003D022B" w:rsidRPr="00A90FA1" w:rsidRDefault="003D022B" w:rsidP="002F0317">
      <w:pPr>
        <w:jc w:val="both"/>
        <w:rPr>
          <w:rFonts w:ascii="Bookman Old Style" w:eastAsia="Times New Roman" w:hAnsi="Bookman Old Style"/>
          <w:sz w:val="24"/>
          <w:szCs w:val="24"/>
        </w:rPr>
      </w:pPr>
    </w:p>
    <w:p w14:paraId="0C0616FF" w14:textId="24D14241" w:rsidR="00F36200" w:rsidRPr="00A90FA1" w:rsidRDefault="003D022B"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As with so many areas of the law</w:t>
      </w:r>
      <w:r w:rsidR="007F5E56" w:rsidRPr="00A90FA1">
        <w:rPr>
          <w:rFonts w:ascii="Bookman Old Style" w:eastAsia="Times New Roman" w:hAnsi="Bookman Old Style"/>
          <w:sz w:val="24"/>
          <w:szCs w:val="24"/>
        </w:rPr>
        <w:t xml:space="preserve"> and medicine</w:t>
      </w:r>
      <w:r w:rsidRPr="00A90FA1">
        <w:rPr>
          <w:rFonts w:ascii="Bookman Old Style" w:eastAsia="Times New Roman" w:hAnsi="Bookman Old Style"/>
          <w:sz w:val="24"/>
          <w:szCs w:val="24"/>
        </w:rPr>
        <w:t xml:space="preserve">, there is </w:t>
      </w:r>
      <w:r w:rsidR="00315602" w:rsidRPr="00A90FA1">
        <w:rPr>
          <w:rFonts w:ascii="Bookman Old Style" w:eastAsia="Times New Roman" w:hAnsi="Bookman Old Style"/>
          <w:sz w:val="24"/>
          <w:szCs w:val="24"/>
        </w:rPr>
        <w:t>much scope</w:t>
      </w:r>
      <w:r w:rsidRPr="00A90FA1">
        <w:rPr>
          <w:rFonts w:ascii="Bookman Old Style" w:eastAsia="Times New Roman" w:hAnsi="Bookman Old Style"/>
          <w:sz w:val="24"/>
          <w:szCs w:val="24"/>
        </w:rPr>
        <w:t xml:space="preserve"> for </w:t>
      </w:r>
      <w:r w:rsidR="00315602" w:rsidRPr="00A90FA1">
        <w:rPr>
          <w:rFonts w:ascii="Bookman Old Style" w:eastAsia="Times New Roman" w:hAnsi="Bookman Old Style"/>
          <w:sz w:val="24"/>
          <w:szCs w:val="24"/>
        </w:rPr>
        <w:t xml:space="preserve">interesting </w:t>
      </w:r>
      <w:r w:rsidRPr="00A90FA1">
        <w:rPr>
          <w:rFonts w:ascii="Bookman Old Style" w:eastAsia="Times New Roman" w:hAnsi="Bookman Old Style"/>
          <w:sz w:val="24"/>
          <w:szCs w:val="24"/>
        </w:rPr>
        <w:t>legal development</w:t>
      </w:r>
      <w:r w:rsidR="008B5B5C" w:rsidRPr="00A90FA1">
        <w:rPr>
          <w:rFonts w:ascii="Bookman Old Style" w:eastAsia="Times New Roman" w:hAnsi="Bookman Old Style"/>
          <w:sz w:val="24"/>
          <w:szCs w:val="24"/>
        </w:rPr>
        <w:t>,</w:t>
      </w:r>
      <w:r w:rsidRPr="00A90FA1">
        <w:rPr>
          <w:rFonts w:ascii="Bookman Old Style" w:eastAsia="Times New Roman" w:hAnsi="Bookman Old Style"/>
          <w:sz w:val="24"/>
          <w:szCs w:val="24"/>
        </w:rPr>
        <w:t xml:space="preserve"> </w:t>
      </w:r>
      <w:r w:rsidR="007F5E56" w:rsidRPr="00A90FA1">
        <w:rPr>
          <w:rFonts w:ascii="Bookman Old Style" w:eastAsia="Times New Roman" w:hAnsi="Bookman Old Style"/>
          <w:sz w:val="24"/>
          <w:szCs w:val="24"/>
        </w:rPr>
        <w:t xml:space="preserve">as the community’s understanding of psychiatric illness and </w:t>
      </w:r>
      <w:r w:rsidR="00315602" w:rsidRPr="00A90FA1">
        <w:rPr>
          <w:rFonts w:ascii="Bookman Old Style" w:eastAsia="Times New Roman" w:hAnsi="Bookman Old Style"/>
          <w:sz w:val="24"/>
          <w:szCs w:val="24"/>
        </w:rPr>
        <w:t xml:space="preserve">its </w:t>
      </w:r>
      <w:r w:rsidR="007F5E56" w:rsidRPr="00A90FA1">
        <w:rPr>
          <w:rFonts w:ascii="Bookman Old Style" w:eastAsia="Times New Roman" w:hAnsi="Bookman Old Style"/>
          <w:sz w:val="24"/>
          <w:szCs w:val="24"/>
        </w:rPr>
        <w:t xml:space="preserve">risks </w:t>
      </w:r>
      <w:r w:rsidR="00A72D0C" w:rsidRPr="00A90FA1">
        <w:rPr>
          <w:rFonts w:ascii="Bookman Old Style" w:eastAsia="Times New Roman" w:hAnsi="Bookman Old Style"/>
          <w:sz w:val="24"/>
          <w:szCs w:val="24"/>
        </w:rPr>
        <w:t xml:space="preserve">grow. </w:t>
      </w:r>
      <w:r w:rsidR="004A2D29" w:rsidRPr="00A90FA1">
        <w:rPr>
          <w:rFonts w:ascii="Bookman Old Style" w:eastAsia="Times New Roman" w:hAnsi="Bookman Old Style"/>
          <w:sz w:val="24"/>
          <w:szCs w:val="24"/>
        </w:rPr>
        <w:t xml:space="preserve"> </w:t>
      </w:r>
      <w:r w:rsidR="00862C17" w:rsidRPr="00A90FA1">
        <w:rPr>
          <w:rFonts w:ascii="Bookman Old Style" w:eastAsia="Times New Roman" w:hAnsi="Bookman Old Style"/>
          <w:sz w:val="24"/>
          <w:szCs w:val="24"/>
        </w:rPr>
        <w:t xml:space="preserve"> </w:t>
      </w:r>
    </w:p>
    <w:p w14:paraId="673710D7" w14:textId="77777777" w:rsidR="00F36200" w:rsidRPr="00A90FA1" w:rsidRDefault="00F36200" w:rsidP="002F0317">
      <w:pPr>
        <w:jc w:val="both"/>
        <w:rPr>
          <w:rFonts w:ascii="Bookman Old Style" w:eastAsia="Times New Roman" w:hAnsi="Bookman Old Style"/>
          <w:sz w:val="24"/>
          <w:szCs w:val="24"/>
        </w:rPr>
      </w:pPr>
    </w:p>
    <w:p w14:paraId="668EAC3D" w14:textId="60ACFB71" w:rsidR="003D022B" w:rsidRPr="00A90FA1" w:rsidRDefault="00862C17" w:rsidP="002F0317">
      <w:pPr>
        <w:jc w:val="both"/>
        <w:rPr>
          <w:rFonts w:ascii="Bookman Old Style" w:eastAsia="Times New Roman" w:hAnsi="Bookman Old Style"/>
          <w:sz w:val="24"/>
          <w:szCs w:val="24"/>
        </w:rPr>
      </w:pPr>
      <w:r w:rsidRPr="00A90FA1">
        <w:rPr>
          <w:rFonts w:ascii="Bookman Old Style" w:eastAsia="Times New Roman" w:hAnsi="Bookman Old Style"/>
          <w:sz w:val="24"/>
          <w:szCs w:val="24"/>
        </w:rPr>
        <w:t xml:space="preserve">We are lucky indeed to be tort lawyers. </w:t>
      </w:r>
    </w:p>
    <w:p w14:paraId="55BD5775" w14:textId="77777777" w:rsidR="00617F3B" w:rsidRPr="00A90FA1" w:rsidRDefault="00617F3B" w:rsidP="002F0317">
      <w:pPr>
        <w:jc w:val="both"/>
        <w:rPr>
          <w:rFonts w:ascii="Bookman Old Style" w:eastAsia="Times New Roman" w:hAnsi="Bookman Old Style"/>
          <w:sz w:val="24"/>
          <w:szCs w:val="24"/>
        </w:rPr>
      </w:pPr>
    </w:p>
    <w:p w14:paraId="37E5CC5C" w14:textId="77777777" w:rsidR="006E7619" w:rsidRPr="00A90FA1" w:rsidRDefault="006E7619" w:rsidP="002F0317">
      <w:pPr>
        <w:jc w:val="both"/>
        <w:rPr>
          <w:rFonts w:ascii="Bookman Old Style" w:eastAsia="Times New Roman" w:hAnsi="Bookman Old Style"/>
          <w:sz w:val="24"/>
          <w:szCs w:val="24"/>
        </w:rPr>
      </w:pPr>
    </w:p>
    <w:p w14:paraId="6A5C9101" w14:textId="77777777" w:rsidR="001C0C95" w:rsidRPr="00A90FA1" w:rsidRDefault="001C0C95" w:rsidP="002F0317">
      <w:pPr>
        <w:jc w:val="both"/>
        <w:rPr>
          <w:rFonts w:ascii="Bookman Old Style" w:eastAsia="Times New Roman" w:hAnsi="Bookman Old Style"/>
          <w:sz w:val="24"/>
          <w:szCs w:val="24"/>
        </w:rPr>
      </w:pPr>
    </w:p>
    <w:p w14:paraId="6B735168" w14:textId="77777777" w:rsidR="001C0C95" w:rsidRPr="00A90FA1" w:rsidRDefault="001C0C95" w:rsidP="002F0317">
      <w:pPr>
        <w:jc w:val="both"/>
        <w:rPr>
          <w:rFonts w:ascii="Bookman Old Style" w:eastAsia="Times New Roman" w:hAnsi="Bookman Old Style"/>
          <w:sz w:val="24"/>
          <w:szCs w:val="24"/>
        </w:rPr>
      </w:pPr>
    </w:p>
    <w:p w14:paraId="2818F257" w14:textId="4A6D2F43" w:rsidR="006E7619" w:rsidRPr="00A90FA1" w:rsidRDefault="006E7619" w:rsidP="001C0C95">
      <w:pPr>
        <w:spacing w:line="360" w:lineRule="auto"/>
        <w:jc w:val="right"/>
        <w:rPr>
          <w:rFonts w:ascii="Bookman Old Style" w:eastAsia="Times New Roman" w:hAnsi="Bookman Old Style"/>
          <w:b/>
          <w:bCs/>
          <w:sz w:val="24"/>
          <w:szCs w:val="24"/>
        </w:rPr>
      </w:pPr>
      <w:r w:rsidRPr="00A90FA1">
        <w:rPr>
          <w:rFonts w:ascii="Bookman Old Style" w:eastAsia="Times New Roman" w:hAnsi="Bookman Old Style"/>
          <w:b/>
          <w:bCs/>
          <w:sz w:val="24"/>
          <w:szCs w:val="24"/>
        </w:rPr>
        <w:t>P G HAMILTON</w:t>
      </w:r>
    </w:p>
    <w:p w14:paraId="73DA7AB1" w14:textId="45A2EF05" w:rsidR="006E7619" w:rsidRPr="00A90FA1" w:rsidRDefault="006E7619" w:rsidP="001C0C95">
      <w:pPr>
        <w:spacing w:line="360" w:lineRule="auto"/>
        <w:jc w:val="right"/>
        <w:rPr>
          <w:rFonts w:ascii="Bookman Old Style" w:eastAsia="Times New Roman" w:hAnsi="Bookman Old Style"/>
          <w:sz w:val="24"/>
          <w:szCs w:val="24"/>
        </w:rPr>
      </w:pPr>
      <w:r w:rsidRPr="00A90FA1">
        <w:rPr>
          <w:rFonts w:ascii="Bookman Old Style" w:eastAsia="Times New Roman" w:hAnsi="Bookman Old Style"/>
          <w:b/>
          <w:bCs/>
          <w:sz w:val="24"/>
          <w:szCs w:val="24"/>
        </w:rPr>
        <w:t>Owen Dixon Chambers West</w:t>
      </w:r>
    </w:p>
    <w:p w14:paraId="4F473C46" w14:textId="78B8919D" w:rsidR="00E029BF" w:rsidRPr="00A90FA1" w:rsidRDefault="006E7619" w:rsidP="00F2388F">
      <w:pPr>
        <w:spacing w:line="360" w:lineRule="auto"/>
        <w:jc w:val="right"/>
        <w:rPr>
          <w:rFonts w:ascii="Bookman Old Style" w:eastAsia="Times New Roman" w:hAnsi="Bookman Old Style"/>
          <w:sz w:val="24"/>
          <w:szCs w:val="24"/>
        </w:rPr>
      </w:pPr>
      <w:r w:rsidRPr="00A90FA1">
        <w:rPr>
          <w:rFonts w:ascii="Bookman Old Style" w:eastAsia="Times New Roman" w:hAnsi="Bookman Old Style"/>
          <w:sz w:val="24"/>
          <w:szCs w:val="24"/>
        </w:rPr>
        <w:t xml:space="preserve">27 October 2022 </w:t>
      </w:r>
    </w:p>
    <w:sectPr w:rsidR="00E029BF" w:rsidRPr="00A90FA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7E5B" w14:textId="77777777" w:rsidR="009D275B" w:rsidRDefault="009D275B" w:rsidP="002F0317">
      <w:r>
        <w:separator/>
      </w:r>
    </w:p>
  </w:endnote>
  <w:endnote w:type="continuationSeparator" w:id="0">
    <w:p w14:paraId="5D092853" w14:textId="77777777" w:rsidR="009D275B" w:rsidRDefault="009D275B" w:rsidP="002F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roman"/>
    <w:pitch w:val="variable"/>
    <w:sig w:usb0="01000001"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DE"/>
    <w:family w:val="roman"/>
    <w:pitch w:val="variable"/>
    <w:sig w:usb0="01000001" w:usb1="00000000" w:usb2="00000000" w:usb3="00000000" w:csb0="00010000"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25592"/>
      <w:docPartObj>
        <w:docPartGallery w:val="Page Numbers (Bottom of Page)"/>
        <w:docPartUnique/>
      </w:docPartObj>
    </w:sdtPr>
    <w:sdtEndPr>
      <w:rPr>
        <w:noProof/>
      </w:rPr>
    </w:sdtEndPr>
    <w:sdtContent>
      <w:p w14:paraId="56F3CD1F" w14:textId="439A061F" w:rsidR="002F0317" w:rsidRDefault="002F03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2558BA" w14:textId="77777777" w:rsidR="002F0317" w:rsidRDefault="002F0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52FB" w14:textId="77777777" w:rsidR="009D275B" w:rsidRDefault="009D275B" w:rsidP="002F0317">
      <w:r>
        <w:separator/>
      </w:r>
    </w:p>
  </w:footnote>
  <w:footnote w:type="continuationSeparator" w:id="0">
    <w:p w14:paraId="4ADE1DCA" w14:textId="77777777" w:rsidR="009D275B" w:rsidRDefault="009D275B" w:rsidP="002F0317">
      <w:r>
        <w:continuationSeparator/>
      </w:r>
    </w:p>
  </w:footnote>
  <w:footnote w:id="1">
    <w:p w14:paraId="4E36BA81" w14:textId="21DEFB9D" w:rsidR="00FB135A" w:rsidRDefault="00FB135A" w:rsidP="003D022B">
      <w:pPr>
        <w:pStyle w:val="FootnoteText"/>
        <w:ind w:left="567" w:hanging="567"/>
      </w:pPr>
      <w:r>
        <w:rPr>
          <w:rStyle w:val="FootnoteReference"/>
        </w:rPr>
        <w:footnoteRef/>
      </w:r>
      <w:r>
        <w:t xml:space="preserve"> </w:t>
      </w:r>
      <w:r>
        <w:tab/>
      </w:r>
      <w:r w:rsidR="0095016C">
        <w:t xml:space="preserve">Speech delivered to the Victorian Bar with Gideon Haigh, chaired by Patrick Over of counsel, on 27 October 2022.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17"/>
    <w:rsid w:val="00052CA2"/>
    <w:rsid w:val="00063B6F"/>
    <w:rsid w:val="0008341F"/>
    <w:rsid w:val="000A10E1"/>
    <w:rsid w:val="000B380E"/>
    <w:rsid w:val="000D5201"/>
    <w:rsid w:val="000F1922"/>
    <w:rsid w:val="00112FBD"/>
    <w:rsid w:val="001147A9"/>
    <w:rsid w:val="00115AD0"/>
    <w:rsid w:val="00120075"/>
    <w:rsid w:val="00140BAC"/>
    <w:rsid w:val="00141412"/>
    <w:rsid w:val="00142727"/>
    <w:rsid w:val="001817AE"/>
    <w:rsid w:val="001C0C95"/>
    <w:rsid w:val="00210641"/>
    <w:rsid w:val="002204BA"/>
    <w:rsid w:val="00221636"/>
    <w:rsid w:val="00243D65"/>
    <w:rsid w:val="00250102"/>
    <w:rsid w:val="0025499F"/>
    <w:rsid w:val="00256AC3"/>
    <w:rsid w:val="002757DE"/>
    <w:rsid w:val="002830A0"/>
    <w:rsid w:val="00284978"/>
    <w:rsid w:val="002A2EFA"/>
    <w:rsid w:val="002B312D"/>
    <w:rsid w:val="002B6474"/>
    <w:rsid w:val="002C0FEC"/>
    <w:rsid w:val="002E0F05"/>
    <w:rsid w:val="002F0317"/>
    <w:rsid w:val="00315602"/>
    <w:rsid w:val="00322B99"/>
    <w:rsid w:val="00345FDB"/>
    <w:rsid w:val="0035270D"/>
    <w:rsid w:val="00352DA3"/>
    <w:rsid w:val="0036344F"/>
    <w:rsid w:val="0036787C"/>
    <w:rsid w:val="00375F7B"/>
    <w:rsid w:val="0039105E"/>
    <w:rsid w:val="003C6A7A"/>
    <w:rsid w:val="003D022B"/>
    <w:rsid w:val="003F3F3C"/>
    <w:rsid w:val="003F5EB0"/>
    <w:rsid w:val="003F5F50"/>
    <w:rsid w:val="00442B50"/>
    <w:rsid w:val="004834A8"/>
    <w:rsid w:val="0049722B"/>
    <w:rsid w:val="004A2D29"/>
    <w:rsid w:val="004A6B7F"/>
    <w:rsid w:val="004B5AAC"/>
    <w:rsid w:val="004C0E6E"/>
    <w:rsid w:val="004C2BDC"/>
    <w:rsid w:val="005003E9"/>
    <w:rsid w:val="00506515"/>
    <w:rsid w:val="00536687"/>
    <w:rsid w:val="0056223B"/>
    <w:rsid w:val="00580BC5"/>
    <w:rsid w:val="005B4078"/>
    <w:rsid w:val="005D707D"/>
    <w:rsid w:val="005D7814"/>
    <w:rsid w:val="005E2393"/>
    <w:rsid w:val="005E5C26"/>
    <w:rsid w:val="005E7961"/>
    <w:rsid w:val="00617F3B"/>
    <w:rsid w:val="00633167"/>
    <w:rsid w:val="00672C81"/>
    <w:rsid w:val="00683808"/>
    <w:rsid w:val="006B108C"/>
    <w:rsid w:val="006B2869"/>
    <w:rsid w:val="006C5ECD"/>
    <w:rsid w:val="006D35C3"/>
    <w:rsid w:val="006E7619"/>
    <w:rsid w:val="006F62C8"/>
    <w:rsid w:val="0070180E"/>
    <w:rsid w:val="007244F4"/>
    <w:rsid w:val="00753C0B"/>
    <w:rsid w:val="00763EB4"/>
    <w:rsid w:val="00770C9A"/>
    <w:rsid w:val="00794E5A"/>
    <w:rsid w:val="007A060B"/>
    <w:rsid w:val="007A4972"/>
    <w:rsid w:val="007B7439"/>
    <w:rsid w:val="007C132B"/>
    <w:rsid w:val="007C29D1"/>
    <w:rsid w:val="007D5F54"/>
    <w:rsid w:val="007D758C"/>
    <w:rsid w:val="007E2A00"/>
    <w:rsid w:val="007E3899"/>
    <w:rsid w:val="007E6C05"/>
    <w:rsid w:val="007F5E56"/>
    <w:rsid w:val="00822825"/>
    <w:rsid w:val="0082515F"/>
    <w:rsid w:val="00840611"/>
    <w:rsid w:val="00843859"/>
    <w:rsid w:val="00862C17"/>
    <w:rsid w:val="00875808"/>
    <w:rsid w:val="008B5B5C"/>
    <w:rsid w:val="008E00DA"/>
    <w:rsid w:val="00907562"/>
    <w:rsid w:val="0093388F"/>
    <w:rsid w:val="00933F1E"/>
    <w:rsid w:val="009437C0"/>
    <w:rsid w:val="0095016C"/>
    <w:rsid w:val="00952EE1"/>
    <w:rsid w:val="00955A42"/>
    <w:rsid w:val="00956106"/>
    <w:rsid w:val="00977C13"/>
    <w:rsid w:val="009A75C1"/>
    <w:rsid w:val="009A7E67"/>
    <w:rsid w:val="009B4598"/>
    <w:rsid w:val="009D1437"/>
    <w:rsid w:val="009D275B"/>
    <w:rsid w:val="00A02420"/>
    <w:rsid w:val="00A04FEC"/>
    <w:rsid w:val="00A25B03"/>
    <w:rsid w:val="00A33B24"/>
    <w:rsid w:val="00A33BF0"/>
    <w:rsid w:val="00A344BF"/>
    <w:rsid w:val="00A653C6"/>
    <w:rsid w:val="00A67A94"/>
    <w:rsid w:val="00A72D0C"/>
    <w:rsid w:val="00A90FA1"/>
    <w:rsid w:val="00AA451F"/>
    <w:rsid w:val="00AD0B61"/>
    <w:rsid w:val="00AE5873"/>
    <w:rsid w:val="00AE73C9"/>
    <w:rsid w:val="00AE7ABB"/>
    <w:rsid w:val="00AF4C41"/>
    <w:rsid w:val="00B15902"/>
    <w:rsid w:val="00B4223E"/>
    <w:rsid w:val="00B74B7E"/>
    <w:rsid w:val="00B83C14"/>
    <w:rsid w:val="00B96301"/>
    <w:rsid w:val="00BA1CEA"/>
    <w:rsid w:val="00BA5E61"/>
    <w:rsid w:val="00BA7A80"/>
    <w:rsid w:val="00BD0F10"/>
    <w:rsid w:val="00C06716"/>
    <w:rsid w:val="00C14446"/>
    <w:rsid w:val="00C14532"/>
    <w:rsid w:val="00C407BC"/>
    <w:rsid w:val="00C43EF8"/>
    <w:rsid w:val="00C7375D"/>
    <w:rsid w:val="00C753FD"/>
    <w:rsid w:val="00C871A2"/>
    <w:rsid w:val="00CA5A39"/>
    <w:rsid w:val="00CB1B30"/>
    <w:rsid w:val="00CB29F3"/>
    <w:rsid w:val="00CC0F3C"/>
    <w:rsid w:val="00CC60BF"/>
    <w:rsid w:val="00CE09C4"/>
    <w:rsid w:val="00D07F19"/>
    <w:rsid w:val="00D1746A"/>
    <w:rsid w:val="00D32699"/>
    <w:rsid w:val="00D543AD"/>
    <w:rsid w:val="00D56D7D"/>
    <w:rsid w:val="00D65BE1"/>
    <w:rsid w:val="00D96B03"/>
    <w:rsid w:val="00DB4A20"/>
    <w:rsid w:val="00DF0517"/>
    <w:rsid w:val="00E027DD"/>
    <w:rsid w:val="00E029BF"/>
    <w:rsid w:val="00E56B3C"/>
    <w:rsid w:val="00E70399"/>
    <w:rsid w:val="00E82FFA"/>
    <w:rsid w:val="00E94726"/>
    <w:rsid w:val="00F00F31"/>
    <w:rsid w:val="00F072B0"/>
    <w:rsid w:val="00F14036"/>
    <w:rsid w:val="00F23164"/>
    <w:rsid w:val="00F2388F"/>
    <w:rsid w:val="00F310F5"/>
    <w:rsid w:val="00F3448C"/>
    <w:rsid w:val="00F36200"/>
    <w:rsid w:val="00F454D4"/>
    <w:rsid w:val="00F72FA6"/>
    <w:rsid w:val="00FB135A"/>
    <w:rsid w:val="00FC2D62"/>
    <w:rsid w:val="00FE46CA"/>
    <w:rsid w:val="00FF70C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0B45A"/>
  <w15:chartTrackingRefBased/>
  <w15:docId w15:val="{7AB772C5-AAB8-4AC4-8C50-6A86CE11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317"/>
    <w:pPr>
      <w:spacing w:after="0" w:line="240" w:lineRule="auto"/>
    </w:pPr>
    <w:rPr>
      <w:rFonts w:ascii="Calibri"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317"/>
    <w:pPr>
      <w:tabs>
        <w:tab w:val="center" w:pos="4513"/>
        <w:tab w:val="right" w:pos="9026"/>
      </w:tabs>
    </w:pPr>
    <w:rPr>
      <w:rFonts w:asciiTheme="minorHAnsi" w:hAnsiTheme="minorHAnsi" w:cstheme="minorBidi"/>
      <w:szCs w:val="28"/>
    </w:rPr>
  </w:style>
  <w:style w:type="character" w:customStyle="1" w:styleId="HeaderChar">
    <w:name w:val="Header Char"/>
    <w:basedOn w:val="DefaultParagraphFont"/>
    <w:link w:val="Header"/>
    <w:uiPriority w:val="99"/>
    <w:rsid w:val="002F0317"/>
  </w:style>
  <w:style w:type="paragraph" w:styleId="Footer">
    <w:name w:val="footer"/>
    <w:basedOn w:val="Normal"/>
    <w:link w:val="FooterChar"/>
    <w:uiPriority w:val="99"/>
    <w:unhideWhenUsed/>
    <w:rsid w:val="002F0317"/>
    <w:pPr>
      <w:tabs>
        <w:tab w:val="center" w:pos="4513"/>
        <w:tab w:val="right" w:pos="9026"/>
      </w:tabs>
    </w:pPr>
    <w:rPr>
      <w:rFonts w:asciiTheme="minorHAnsi" w:hAnsiTheme="minorHAnsi" w:cstheme="minorBidi"/>
      <w:szCs w:val="28"/>
    </w:rPr>
  </w:style>
  <w:style w:type="character" w:customStyle="1" w:styleId="FooterChar">
    <w:name w:val="Footer Char"/>
    <w:basedOn w:val="DefaultParagraphFont"/>
    <w:link w:val="Footer"/>
    <w:uiPriority w:val="99"/>
    <w:rsid w:val="002F0317"/>
  </w:style>
  <w:style w:type="paragraph" w:styleId="FootnoteText">
    <w:name w:val="footnote text"/>
    <w:basedOn w:val="Normal"/>
    <w:link w:val="FootnoteTextChar"/>
    <w:uiPriority w:val="99"/>
    <w:semiHidden/>
    <w:unhideWhenUsed/>
    <w:rsid w:val="00FB135A"/>
    <w:rPr>
      <w:rFonts w:cs="Angsana New"/>
      <w:sz w:val="20"/>
      <w:szCs w:val="25"/>
    </w:rPr>
  </w:style>
  <w:style w:type="character" w:customStyle="1" w:styleId="FootnoteTextChar">
    <w:name w:val="Footnote Text Char"/>
    <w:basedOn w:val="DefaultParagraphFont"/>
    <w:link w:val="FootnoteText"/>
    <w:uiPriority w:val="99"/>
    <w:semiHidden/>
    <w:rsid w:val="00FB135A"/>
    <w:rPr>
      <w:rFonts w:ascii="Calibri" w:hAnsi="Calibri" w:cs="Angsana New"/>
      <w:sz w:val="20"/>
      <w:szCs w:val="25"/>
    </w:rPr>
  </w:style>
  <w:style w:type="character" w:styleId="FootnoteReference">
    <w:name w:val="footnote reference"/>
    <w:basedOn w:val="DefaultParagraphFont"/>
    <w:uiPriority w:val="99"/>
    <w:semiHidden/>
    <w:unhideWhenUsed/>
    <w:rsid w:val="00FB13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1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D249B-B67D-40FD-9EDF-28A9736F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1785</Words>
  <Characters>10181</Characters>
  <Application>Microsoft Office Word</Application>
  <DocSecurity>0</DocSecurity>
  <Lines>84</Lines>
  <Paragraphs>23</Paragraphs>
  <ScaleCrop>false</ScaleCrop>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191</cp:revision>
  <dcterms:created xsi:type="dcterms:W3CDTF">2022-10-26T22:36:00Z</dcterms:created>
  <dcterms:modified xsi:type="dcterms:W3CDTF">2022-10-27T20:23:00Z</dcterms:modified>
</cp:coreProperties>
</file>