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9F" w:rsidRPr="00C3799F" w:rsidRDefault="00C3799F" w:rsidP="006B0146">
      <w:pPr>
        <w:tabs>
          <w:tab w:val="right" w:leader="underscore" w:pos="8505"/>
        </w:tabs>
        <w:rPr>
          <w:rFonts w:ascii="Arial" w:hAnsi="Arial"/>
          <w:b/>
          <w:sz w:val="22"/>
          <w:szCs w:val="22"/>
          <w:u w:val="single" w:color="BFBFBF" w:themeColor="background1" w:themeShade="BF"/>
        </w:rPr>
      </w:pPr>
      <w:r>
        <w:rPr>
          <w:rFonts w:ascii="Arial" w:hAnsi="Arial"/>
          <w:b/>
          <w:sz w:val="22"/>
          <w:szCs w:val="22"/>
          <w:u w:val="single" w:color="BFBFBF" w:themeColor="background1" w:themeShade="BF"/>
        </w:rPr>
        <w:t>Dr Philip Bender – Books, papers, presentations and articles</w:t>
      </w:r>
    </w:p>
    <w:p w:rsidR="00C3799F" w:rsidRDefault="00C3799F" w:rsidP="006B0146">
      <w:pPr>
        <w:tabs>
          <w:tab w:val="right" w:leader="underscore" w:pos="8505"/>
        </w:tabs>
        <w:rPr>
          <w:rFonts w:ascii="Arial" w:hAnsi="Arial"/>
          <w:b/>
          <w:sz w:val="20"/>
          <w:u w:val="single" w:color="BFBFBF" w:themeColor="background1" w:themeShade="BF"/>
        </w:rPr>
      </w:pPr>
    </w:p>
    <w:p w:rsidR="006B0146" w:rsidRPr="00C3799F" w:rsidRDefault="006B0146" w:rsidP="006B0146">
      <w:pPr>
        <w:tabs>
          <w:tab w:val="right" w:leader="underscore" w:pos="8505"/>
        </w:tabs>
        <w:rPr>
          <w:rFonts w:ascii="Arial" w:hAnsi="Arial"/>
          <w:b/>
          <w:sz w:val="20"/>
          <w:szCs w:val="20"/>
          <w:u w:val="single" w:color="BFBFBF" w:themeColor="background1" w:themeShade="BF"/>
        </w:rPr>
      </w:pPr>
      <w:r w:rsidRPr="00C3799F">
        <w:rPr>
          <w:rFonts w:ascii="Arial" w:hAnsi="Arial"/>
          <w:b/>
          <w:sz w:val="20"/>
          <w:szCs w:val="20"/>
          <w:u w:val="single" w:color="BFBFBF" w:themeColor="background1" w:themeShade="BF"/>
        </w:rPr>
        <w:t>Books</w:t>
      </w:r>
      <w:r w:rsidRPr="00C3799F">
        <w:rPr>
          <w:rFonts w:ascii="Arial" w:hAnsi="Arial"/>
          <w:b/>
          <w:color w:val="BFBFBF" w:themeColor="background1" w:themeShade="BF"/>
          <w:sz w:val="20"/>
          <w:szCs w:val="20"/>
          <w:u w:val="single" w:color="BFBFBF" w:themeColor="background1" w:themeShade="BF"/>
        </w:rPr>
        <w:tab/>
      </w:r>
    </w:p>
    <w:p w:rsidR="006B0146" w:rsidRPr="00C3799F" w:rsidRDefault="006B0146" w:rsidP="006B0146">
      <w:pPr>
        <w:rPr>
          <w:rFonts w:ascii="Arial" w:hAnsi="Arial"/>
          <w:b/>
          <w:i/>
          <w:sz w:val="20"/>
          <w:szCs w:val="20"/>
          <w:u w:val="single"/>
        </w:rPr>
      </w:pP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Australian stamp duties, published by Taxation Institute of Australia, sole author of this forthcoming book to be published in the first half of 2018 and dealing with stamp duty in all Australian jurisdictions.</w:t>
      </w:r>
    </w:p>
    <w:p w:rsidR="006B0146" w:rsidRPr="00C3799F" w:rsidRDefault="006B0146" w:rsidP="006B0146">
      <w:pPr>
        <w:pStyle w:val="ListParagraph"/>
        <w:spacing w:after="200" w:line="276" w:lineRule="auto"/>
        <w:rPr>
          <w:rFonts w:ascii="Arial" w:hAnsi="Arial" w:cs="Arial"/>
          <w:i/>
          <w:sz w:val="20"/>
          <w:szCs w:val="20"/>
        </w:rPr>
      </w:pP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Contributing author, Taxation of Financial Arrangements, book published by Thomson Reuters.</w:t>
      </w:r>
    </w:p>
    <w:p w:rsidR="006B0146" w:rsidRPr="00C3799F" w:rsidRDefault="006B0146" w:rsidP="006B0146">
      <w:pPr>
        <w:pStyle w:val="ListParagraph"/>
        <w:rPr>
          <w:rFonts w:ascii="Arial" w:hAnsi="Arial" w:cs="Arial"/>
          <w:i/>
          <w:sz w:val="20"/>
          <w:szCs w:val="20"/>
        </w:rPr>
      </w:pP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Contributing author, Business Tax Reform in Prospect and Retrospect, book published by Thomson Reuters.</w:t>
      </w:r>
    </w:p>
    <w:p w:rsidR="006B0146" w:rsidRPr="00C3799F" w:rsidRDefault="006B0146" w:rsidP="006B0146">
      <w:pPr>
        <w:pStyle w:val="ListParagraph"/>
        <w:spacing w:after="200" w:line="276" w:lineRule="auto"/>
        <w:rPr>
          <w:rFonts w:ascii="Arial" w:hAnsi="Arial" w:cs="Arial"/>
          <w:i/>
          <w:sz w:val="20"/>
          <w:szCs w:val="20"/>
        </w:rPr>
      </w:pPr>
    </w:p>
    <w:p w:rsidR="006B0146" w:rsidRPr="00C3799F" w:rsidRDefault="006B0146" w:rsidP="006B0146">
      <w:pPr>
        <w:tabs>
          <w:tab w:val="right" w:leader="underscore" w:pos="8505"/>
        </w:tabs>
        <w:rPr>
          <w:rFonts w:ascii="Arial" w:hAnsi="Arial"/>
          <w:b/>
          <w:sz w:val="20"/>
          <w:szCs w:val="20"/>
          <w:u w:val="single" w:color="BFBFBF" w:themeColor="background1" w:themeShade="BF"/>
        </w:rPr>
      </w:pPr>
      <w:r w:rsidRPr="00C3799F">
        <w:rPr>
          <w:rFonts w:ascii="Arial" w:hAnsi="Arial"/>
          <w:b/>
          <w:sz w:val="20"/>
          <w:szCs w:val="20"/>
          <w:u w:val="single" w:color="BFBFBF" w:themeColor="background1" w:themeShade="BF"/>
        </w:rPr>
        <w:t>Papers and presentations</w:t>
      </w:r>
      <w:r w:rsidRPr="00C3799F">
        <w:rPr>
          <w:rFonts w:ascii="Arial" w:hAnsi="Arial"/>
          <w:b/>
          <w:color w:val="BFBFBF" w:themeColor="background1" w:themeShade="BF"/>
          <w:sz w:val="20"/>
          <w:szCs w:val="20"/>
          <w:u w:val="single" w:color="BFBFBF" w:themeColor="background1" w:themeShade="BF"/>
        </w:rPr>
        <w:tab/>
      </w:r>
    </w:p>
    <w:p w:rsidR="006B0146" w:rsidRPr="00C3799F" w:rsidRDefault="006B0146" w:rsidP="006B0146">
      <w:pPr>
        <w:rPr>
          <w:rFonts w:ascii="Arial" w:hAnsi="Arial"/>
          <w:b/>
          <w:i/>
          <w:sz w:val="20"/>
          <w:szCs w:val="20"/>
          <w:u w:val="single"/>
        </w:rPr>
      </w:pPr>
    </w:p>
    <w:p w:rsidR="006B0146" w:rsidRPr="00C3799F" w:rsidRDefault="006B0146" w:rsidP="006B0146">
      <w:pPr>
        <w:rPr>
          <w:rFonts w:ascii="Arial" w:hAnsi="Arial"/>
          <w:b/>
          <w:sz w:val="20"/>
          <w:szCs w:val="20"/>
          <w:u w:val="single"/>
        </w:rPr>
      </w:pPr>
      <w:r w:rsidRPr="00C3799F">
        <w:rPr>
          <w:rFonts w:ascii="Arial" w:hAnsi="Arial"/>
          <w:b/>
          <w:sz w:val="20"/>
          <w:szCs w:val="20"/>
          <w:u w:val="single"/>
        </w:rPr>
        <w:t>Administrative law</w:t>
      </w:r>
    </w:p>
    <w:p w:rsidR="006B0146" w:rsidRPr="00C3799F" w:rsidRDefault="006B0146" w:rsidP="006B0146">
      <w:pPr>
        <w:pStyle w:val="ListParagraph"/>
        <w:spacing w:after="200" w:line="276" w:lineRule="auto"/>
        <w:rPr>
          <w:rFonts w:ascii="Arial" w:hAnsi="Arial" w:cs="Arial"/>
          <w:i/>
          <w:sz w:val="20"/>
          <w:szCs w:val="20"/>
        </w:rPr>
      </w:pP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i/>
          <w:sz w:val="20"/>
          <w:szCs w:val="20"/>
        </w:rPr>
        <w:t>Unreasonableness: a tale of 2 Wrights not making a wrong</w:t>
      </w:r>
      <w:r w:rsidRPr="00C3799F">
        <w:rPr>
          <w:rFonts w:ascii="Arial" w:hAnsi="Arial" w:cs="Arial"/>
          <w:sz w:val="20"/>
          <w:szCs w:val="20"/>
        </w:rPr>
        <w:t xml:space="preserve">, 2017, Leo </w:t>
      </w:r>
      <w:proofErr w:type="spellStart"/>
      <w:r w:rsidRPr="00C3799F">
        <w:rPr>
          <w:rFonts w:ascii="Arial" w:hAnsi="Arial" w:cs="Arial"/>
          <w:sz w:val="20"/>
          <w:szCs w:val="20"/>
        </w:rPr>
        <w:t>Cussens</w:t>
      </w:r>
      <w:proofErr w:type="spellEnd"/>
      <w:r w:rsidRPr="00C3799F">
        <w:rPr>
          <w:rFonts w:ascii="Arial" w:hAnsi="Arial" w:cs="Arial"/>
          <w:sz w:val="20"/>
          <w:szCs w:val="20"/>
        </w:rPr>
        <w:t xml:space="preserve"> (presentation).</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i/>
          <w:sz w:val="20"/>
          <w:szCs w:val="20"/>
        </w:rPr>
        <w:t>Administrative law update: natural justice, administrative discretions, and appeals on questions of law</w:t>
      </w:r>
      <w:r w:rsidRPr="00C3799F">
        <w:rPr>
          <w:rFonts w:ascii="Arial" w:hAnsi="Arial" w:cs="Arial"/>
          <w:sz w:val="20"/>
          <w:szCs w:val="20"/>
        </w:rPr>
        <w:t xml:space="preserve">, 2016, Leo </w:t>
      </w:r>
      <w:proofErr w:type="spellStart"/>
      <w:r w:rsidRPr="00C3799F">
        <w:rPr>
          <w:rFonts w:ascii="Arial" w:hAnsi="Arial" w:cs="Arial"/>
          <w:sz w:val="20"/>
          <w:szCs w:val="20"/>
        </w:rPr>
        <w:t>Cussens</w:t>
      </w:r>
      <w:proofErr w:type="spellEnd"/>
      <w:r w:rsidRPr="00C3799F">
        <w:rPr>
          <w:rFonts w:ascii="Arial" w:hAnsi="Arial" w:cs="Arial"/>
          <w:sz w:val="20"/>
          <w:szCs w:val="20"/>
        </w:rPr>
        <w:t xml:space="preserve"> (paper and presentation).</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i/>
          <w:sz w:val="20"/>
          <w:szCs w:val="20"/>
        </w:rPr>
        <w:t>Appealing on questions of law from Tribunals</w:t>
      </w:r>
      <w:r w:rsidRPr="00C3799F">
        <w:rPr>
          <w:rFonts w:ascii="Arial" w:hAnsi="Arial" w:cs="Arial"/>
          <w:sz w:val="20"/>
          <w:szCs w:val="20"/>
        </w:rPr>
        <w:t>, 2013 and 2014, presentations to the Eastern Suburbs Law Association, the Western Suburbs Law Association, the State Revenue Office and the Victorian Government Solicitor’s Office.</w:t>
      </w:r>
    </w:p>
    <w:p w:rsidR="006B0146" w:rsidRPr="00C3799F" w:rsidRDefault="006B0146" w:rsidP="006B0146">
      <w:pPr>
        <w:rPr>
          <w:rFonts w:ascii="Arial" w:hAnsi="Arial"/>
          <w:b/>
          <w:sz w:val="20"/>
          <w:szCs w:val="20"/>
          <w:u w:val="single"/>
        </w:rPr>
      </w:pPr>
      <w:r w:rsidRPr="00C3799F">
        <w:rPr>
          <w:rFonts w:ascii="Arial" w:hAnsi="Arial"/>
          <w:b/>
          <w:sz w:val="20"/>
          <w:szCs w:val="20"/>
          <w:u w:val="single"/>
        </w:rPr>
        <w:t>Bankruptcy and insolvency</w:t>
      </w:r>
    </w:p>
    <w:p w:rsidR="006B0146" w:rsidRPr="00C3799F" w:rsidRDefault="006B0146" w:rsidP="006B0146">
      <w:pPr>
        <w:rPr>
          <w:rFonts w:ascii="Arial" w:hAnsi="Arial"/>
          <w:b/>
          <w:sz w:val="20"/>
          <w:szCs w:val="20"/>
          <w:u w:val="single"/>
        </w:rPr>
      </w:pP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Bankruptcy and insolvency law reform and unfair preference case developments</w:t>
      </w:r>
      <w:r w:rsidRPr="00C3799F">
        <w:rPr>
          <w:rFonts w:ascii="Arial" w:hAnsi="Arial" w:cs="Arial"/>
          <w:sz w:val="20"/>
          <w:szCs w:val="20"/>
        </w:rPr>
        <w:t xml:space="preserve">, 2016, </w:t>
      </w:r>
      <w:proofErr w:type="spellStart"/>
      <w:r w:rsidRPr="00C3799F">
        <w:rPr>
          <w:rFonts w:ascii="Arial" w:hAnsi="Arial" w:cs="Arial"/>
          <w:sz w:val="20"/>
          <w:szCs w:val="20"/>
        </w:rPr>
        <w:t>Legalwise</w:t>
      </w:r>
      <w:proofErr w:type="spellEnd"/>
      <w:r w:rsidRPr="00C3799F">
        <w:rPr>
          <w:rFonts w:ascii="Arial" w:hAnsi="Arial" w:cs="Arial"/>
          <w:sz w:val="20"/>
          <w:szCs w:val="20"/>
        </w:rPr>
        <w:t xml:space="preserve">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Examples of recent judicial review cases in bankruptcy and insolvency</w:t>
      </w:r>
      <w:r w:rsidRPr="00C3799F">
        <w:rPr>
          <w:rFonts w:ascii="Arial" w:hAnsi="Arial" w:cs="Arial"/>
          <w:sz w:val="20"/>
          <w:szCs w:val="20"/>
        </w:rPr>
        <w:t>, 2015, presented to the Melbourne CBD insolvency discussion group.</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Recent developments in debt recovery, bankruptcy and insolvency</w:t>
      </w:r>
      <w:r w:rsidRPr="00C3799F">
        <w:rPr>
          <w:rFonts w:ascii="Arial" w:hAnsi="Arial" w:cs="Arial"/>
          <w:sz w:val="20"/>
          <w:szCs w:val="20"/>
        </w:rPr>
        <w:t xml:space="preserve">, 2014, </w:t>
      </w:r>
      <w:proofErr w:type="spellStart"/>
      <w:r w:rsidRPr="00C3799F">
        <w:rPr>
          <w:rFonts w:ascii="Arial" w:hAnsi="Arial" w:cs="Arial"/>
          <w:sz w:val="20"/>
          <w:szCs w:val="20"/>
        </w:rPr>
        <w:t>Legalwise</w:t>
      </w:r>
      <w:proofErr w:type="spellEnd"/>
      <w:r w:rsidRPr="00C3799F">
        <w:rPr>
          <w:rFonts w:ascii="Arial" w:hAnsi="Arial" w:cs="Arial"/>
          <w:sz w:val="20"/>
          <w:szCs w:val="20"/>
        </w:rPr>
        <w:t xml:space="preserve">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Overview of Cross Border Insolvency Regime</w:t>
      </w:r>
      <w:r w:rsidRPr="00C3799F">
        <w:rPr>
          <w:rFonts w:ascii="Arial" w:hAnsi="Arial" w:cs="Arial"/>
          <w:sz w:val="20"/>
          <w:szCs w:val="20"/>
        </w:rPr>
        <w:t>, 2010, presentation to Victorian Bar and NSW Law Society.</w:t>
      </w:r>
    </w:p>
    <w:p w:rsidR="006B0146" w:rsidRPr="00C3799F" w:rsidRDefault="006B0146" w:rsidP="006B0146">
      <w:pPr>
        <w:rPr>
          <w:rFonts w:ascii="Arial" w:hAnsi="Arial"/>
          <w:b/>
          <w:sz w:val="20"/>
          <w:szCs w:val="20"/>
          <w:u w:val="single"/>
        </w:rPr>
      </w:pPr>
    </w:p>
    <w:p w:rsidR="006B0146" w:rsidRPr="00C3799F" w:rsidRDefault="006B0146" w:rsidP="006B0146">
      <w:pPr>
        <w:rPr>
          <w:rFonts w:ascii="Arial" w:hAnsi="Arial"/>
          <w:b/>
          <w:sz w:val="20"/>
          <w:szCs w:val="20"/>
          <w:u w:val="single"/>
        </w:rPr>
      </w:pPr>
      <w:r w:rsidRPr="00C3799F">
        <w:rPr>
          <w:rFonts w:ascii="Arial" w:hAnsi="Arial"/>
          <w:b/>
          <w:sz w:val="20"/>
          <w:szCs w:val="20"/>
          <w:u w:val="single"/>
        </w:rPr>
        <w:t>Commercial law and competition and consumer law</w:t>
      </w:r>
    </w:p>
    <w:p w:rsidR="006B0146" w:rsidRPr="00C3799F" w:rsidRDefault="006B0146" w:rsidP="006B0146">
      <w:pPr>
        <w:spacing w:after="60"/>
        <w:ind w:left="720"/>
        <w:rPr>
          <w:rFonts w:ascii="Arial" w:hAnsi="Arial" w:cs="Arial"/>
          <w:sz w:val="20"/>
          <w:szCs w:val="20"/>
        </w:rPr>
      </w:pPr>
    </w:p>
    <w:p w:rsidR="006B0146" w:rsidRPr="00C3799F" w:rsidRDefault="006B0146" w:rsidP="006B0146">
      <w:pPr>
        <w:numPr>
          <w:ilvl w:val="0"/>
          <w:numId w:val="3"/>
        </w:numPr>
        <w:spacing w:after="60"/>
        <w:rPr>
          <w:rFonts w:ascii="Arial" w:hAnsi="Arial" w:cs="Arial"/>
          <w:sz w:val="20"/>
          <w:szCs w:val="20"/>
        </w:rPr>
      </w:pPr>
      <w:proofErr w:type="spellStart"/>
      <w:r w:rsidRPr="00C3799F">
        <w:rPr>
          <w:rFonts w:ascii="Arial" w:hAnsi="Arial" w:cs="Arial"/>
          <w:i/>
          <w:sz w:val="20"/>
          <w:szCs w:val="20"/>
        </w:rPr>
        <w:t>Calderbank</w:t>
      </w:r>
      <w:proofErr w:type="spellEnd"/>
      <w:r w:rsidRPr="00C3799F">
        <w:rPr>
          <w:rFonts w:ascii="Arial" w:hAnsi="Arial" w:cs="Arial"/>
          <w:i/>
          <w:sz w:val="20"/>
          <w:szCs w:val="20"/>
        </w:rPr>
        <w:t xml:space="preserve"> offers and offers of compromise, </w:t>
      </w:r>
      <w:r w:rsidRPr="00C3799F">
        <w:rPr>
          <w:rFonts w:ascii="Arial" w:hAnsi="Arial" w:cs="Arial"/>
          <w:sz w:val="20"/>
          <w:szCs w:val="20"/>
        </w:rPr>
        <w:t xml:space="preserve">November 2017, Leo </w:t>
      </w:r>
      <w:proofErr w:type="spellStart"/>
      <w:r w:rsidRPr="00C3799F">
        <w:rPr>
          <w:rFonts w:ascii="Arial" w:hAnsi="Arial" w:cs="Arial"/>
          <w:sz w:val="20"/>
          <w:szCs w:val="20"/>
        </w:rPr>
        <w:t>Cussens</w:t>
      </w:r>
      <w:proofErr w:type="spellEnd"/>
      <w:r w:rsidRPr="00C3799F">
        <w:rPr>
          <w:rFonts w:ascii="Arial" w:hAnsi="Arial" w:cs="Arial"/>
          <w:sz w:val="20"/>
          <w:szCs w:val="20"/>
        </w:rPr>
        <w:t xml:space="preserve">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Settlements</w:t>
      </w:r>
      <w:r w:rsidRPr="00C3799F">
        <w:rPr>
          <w:rFonts w:ascii="Arial" w:hAnsi="Arial" w:cs="Arial"/>
          <w:sz w:val="20"/>
          <w:szCs w:val="20"/>
        </w:rPr>
        <w:t xml:space="preserve">, October 2017, Leo </w:t>
      </w:r>
      <w:proofErr w:type="spellStart"/>
      <w:r w:rsidRPr="00C3799F">
        <w:rPr>
          <w:rFonts w:ascii="Arial" w:hAnsi="Arial" w:cs="Arial"/>
          <w:sz w:val="20"/>
          <w:szCs w:val="20"/>
        </w:rPr>
        <w:t>Cussens</w:t>
      </w:r>
      <w:proofErr w:type="spellEnd"/>
      <w:r w:rsidRPr="00C3799F">
        <w:rPr>
          <w:rFonts w:ascii="Arial" w:hAnsi="Arial" w:cs="Arial"/>
          <w:sz w:val="20"/>
          <w:szCs w:val="20"/>
        </w:rPr>
        <w:t xml:space="preserve"> (paper and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Resolving disputes involving business sales</w:t>
      </w:r>
      <w:r w:rsidRPr="00C3799F">
        <w:rPr>
          <w:rFonts w:ascii="Arial" w:hAnsi="Arial" w:cs="Arial"/>
          <w:sz w:val="20"/>
          <w:szCs w:val="20"/>
        </w:rPr>
        <w:t xml:space="preserve">, 2016, </w:t>
      </w:r>
      <w:proofErr w:type="spellStart"/>
      <w:r w:rsidRPr="00C3799F">
        <w:rPr>
          <w:rFonts w:ascii="Arial" w:hAnsi="Arial" w:cs="Arial"/>
          <w:sz w:val="20"/>
          <w:szCs w:val="20"/>
        </w:rPr>
        <w:t>Legalwise</w:t>
      </w:r>
      <w:proofErr w:type="spellEnd"/>
      <w:r w:rsidRPr="00C3799F">
        <w:rPr>
          <w:rFonts w:ascii="Arial" w:hAnsi="Arial" w:cs="Arial"/>
          <w:sz w:val="20"/>
          <w:szCs w:val="20"/>
        </w:rPr>
        <w:t xml:space="preserve">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Australian Consumer Law: unfair contracts and other litigation</w:t>
      </w:r>
      <w:r w:rsidRPr="00C3799F">
        <w:rPr>
          <w:rFonts w:ascii="Arial" w:hAnsi="Arial" w:cs="Arial"/>
          <w:sz w:val="20"/>
          <w:szCs w:val="20"/>
        </w:rPr>
        <w:t xml:space="preserve">, 2014, </w:t>
      </w:r>
      <w:proofErr w:type="spellStart"/>
      <w:r w:rsidRPr="00C3799F">
        <w:rPr>
          <w:rFonts w:ascii="Arial" w:hAnsi="Arial" w:cs="Arial"/>
          <w:sz w:val="20"/>
          <w:szCs w:val="20"/>
        </w:rPr>
        <w:t>Legalwise</w:t>
      </w:r>
      <w:proofErr w:type="spellEnd"/>
      <w:r w:rsidRPr="00C3799F">
        <w:rPr>
          <w:rFonts w:ascii="Arial" w:hAnsi="Arial" w:cs="Arial"/>
          <w:sz w:val="20"/>
          <w:szCs w:val="20"/>
        </w:rPr>
        <w:t xml:space="preserve">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Australian Consumer Law: litigation and recent cases</w:t>
      </w:r>
      <w:r w:rsidRPr="00C3799F">
        <w:rPr>
          <w:rFonts w:ascii="Arial" w:hAnsi="Arial" w:cs="Arial"/>
          <w:sz w:val="20"/>
          <w:szCs w:val="20"/>
        </w:rPr>
        <w:t xml:space="preserve">, 2014, Leo </w:t>
      </w:r>
      <w:proofErr w:type="spellStart"/>
      <w:r w:rsidRPr="00C3799F">
        <w:rPr>
          <w:rFonts w:ascii="Arial" w:hAnsi="Arial" w:cs="Arial"/>
          <w:sz w:val="20"/>
          <w:szCs w:val="20"/>
        </w:rPr>
        <w:t>Cussens</w:t>
      </w:r>
      <w:proofErr w:type="spellEnd"/>
      <w:r w:rsidRPr="00C3799F">
        <w:rPr>
          <w:rFonts w:ascii="Arial" w:hAnsi="Arial" w:cs="Arial"/>
          <w:sz w:val="20"/>
          <w:szCs w:val="20"/>
        </w:rPr>
        <w:t xml:space="preserve">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Howard’s case – fiduciary duties</w:t>
      </w:r>
      <w:r w:rsidRPr="00C3799F">
        <w:rPr>
          <w:rFonts w:ascii="Arial" w:hAnsi="Arial" w:cs="Arial"/>
          <w:sz w:val="20"/>
          <w:szCs w:val="20"/>
        </w:rPr>
        <w:t>, 2014, presentation to the Victorian Bar and to the Victorian Government Solicitor’s Office.</w:t>
      </w:r>
    </w:p>
    <w:p w:rsidR="006B0146" w:rsidRPr="00C3799F" w:rsidRDefault="006B0146" w:rsidP="006B0146">
      <w:pPr>
        <w:rPr>
          <w:rFonts w:ascii="Arial" w:hAnsi="Arial"/>
          <w:b/>
          <w:sz w:val="20"/>
          <w:szCs w:val="20"/>
          <w:u w:val="single"/>
        </w:rPr>
      </w:pPr>
    </w:p>
    <w:p w:rsidR="006B0146" w:rsidRPr="00C3799F" w:rsidRDefault="006B0146" w:rsidP="006B0146">
      <w:pPr>
        <w:rPr>
          <w:rFonts w:ascii="Arial" w:hAnsi="Arial"/>
          <w:b/>
          <w:sz w:val="20"/>
          <w:szCs w:val="20"/>
          <w:u w:val="single"/>
        </w:rPr>
      </w:pPr>
      <w:r w:rsidRPr="00C3799F">
        <w:rPr>
          <w:rFonts w:ascii="Arial" w:hAnsi="Arial"/>
          <w:b/>
          <w:sz w:val="20"/>
          <w:szCs w:val="20"/>
          <w:u w:val="single"/>
        </w:rPr>
        <w:t>Finance and financial services law and securities law</w:t>
      </w:r>
    </w:p>
    <w:p w:rsidR="006B0146" w:rsidRPr="00C3799F" w:rsidRDefault="006B0146" w:rsidP="006B0146">
      <w:pPr>
        <w:rPr>
          <w:rFonts w:ascii="Arial" w:hAnsi="Arial"/>
          <w:b/>
          <w:sz w:val="20"/>
          <w:szCs w:val="20"/>
          <w:u w:val="single"/>
        </w:rPr>
      </w:pPr>
    </w:p>
    <w:p w:rsidR="006B0146" w:rsidRPr="00C3799F" w:rsidRDefault="006B0146" w:rsidP="006B0146">
      <w:pPr>
        <w:numPr>
          <w:ilvl w:val="0"/>
          <w:numId w:val="1"/>
        </w:numPr>
        <w:spacing w:after="60"/>
        <w:rPr>
          <w:rFonts w:ascii="Arial" w:hAnsi="Arial" w:cs="Arial"/>
          <w:sz w:val="20"/>
          <w:szCs w:val="20"/>
        </w:rPr>
      </w:pPr>
      <w:r w:rsidRPr="00C3799F">
        <w:rPr>
          <w:rFonts w:ascii="Arial" w:hAnsi="Arial" w:cs="Arial"/>
          <w:i/>
          <w:sz w:val="20"/>
          <w:szCs w:val="20"/>
        </w:rPr>
        <w:t>Personal Property Securities Regime</w:t>
      </w:r>
      <w:r w:rsidRPr="00C3799F">
        <w:rPr>
          <w:rFonts w:ascii="Arial" w:hAnsi="Arial" w:cs="Arial"/>
          <w:sz w:val="20"/>
          <w:szCs w:val="20"/>
        </w:rPr>
        <w:t>, October 2017, presentation to Macedon Ranges Lawyers Discussion Group.</w:t>
      </w:r>
    </w:p>
    <w:p w:rsidR="006B0146" w:rsidRPr="00C3799F" w:rsidRDefault="006B0146" w:rsidP="006B0146">
      <w:pPr>
        <w:numPr>
          <w:ilvl w:val="0"/>
          <w:numId w:val="1"/>
        </w:numPr>
        <w:spacing w:after="60"/>
        <w:rPr>
          <w:rFonts w:ascii="Arial" w:hAnsi="Arial" w:cs="Arial"/>
          <w:sz w:val="20"/>
          <w:szCs w:val="20"/>
        </w:rPr>
      </w:pPr>
      <w:r w:rsidRPr="00C3799F">
        <w:rPr>
          <w:rFonts w:ascii="Arial" w:hAnsi="Arial" w:cs="Arial"/>
          <w:i/>
          <w:sz w:val="20"/>
          <w:szCs w:val="20"/>
        </w:rPr>
        <w:t>Overview of Personal Property Securities Regime</w:t>
      </w:r>
      <w:r w:rsidRPr="00C3799F">
        <w:rPr>
          <w:rFonts w:ascii="Arial" w:hAnsi="Arial" w:cs="Arial"/>
          <w:sz w:val="20"/>
          <w:szCs w:val="20"/>
        </w:rPr>
        <w:t>, 2011, presentation to Victorian Bar.</w:t>
      </w:r>
    </w:p>
    <w:p w:rsidR="006B0146" w:rsidRPr="00C3799F" w:rsidRDefault="006B0146" w:rsidP="006B0146">
      <w:pPr>
        <w:rPr>
          <w:rFonts w:ascii="Arial" w:hAnsi="Arial"/>
          <w:b/>
          <w:sz w:val="20"/>
          <w:szCs w:val="20"/>
          <w:u w:val="single"/>
        </w:rPr>
      </w:pPr>
    </w:p>
    <w:p w:rsidR="006B0146" w:rsidRPr="00C3799F" w:rsidRDefault="006B0146" w:rsidP="006B0146">
      <w:pPr>
        <w:rPr>
          <w:rFonts w:ascii="Arial" w:hAnsi="Arial"/>
          <w:b/>
          <w:sz w:val="20"/>
          <w:szCs w:val="20"/>
          <w:u w:val="single"/>
        </w:rPr>
      </w:pPr>
      <w:r w:rsidRPr="00C3799F">
        <w:rPr>
          <w:rFonts w:ascii="Arial" w:hAnsi="Arial"/>
          <w:b/>
          <w:sz w:val="20"/>
          <w:szCs w:val="20"/>
          <w:u w:val="single"/>
        </w:rPr>
        <w:t>Property and construction law</w:t>
      </w:r>
    </w:p>
    <w:p w:rsidR="006B0146" w:rsidRPr="00C3799F" w:rsidRDefault="006B0146" w:rsidP="006B0146">
      <w:pPr>
        <w:spacing w:after="60"/>
        <w:ind w:left="720"/>
        <w:rPr>
          <w:rFonts w:ascii="Arial" w:hAnsi="Arial" w:cs="Arial"/>
          <w:sz w:val="20"/>
          <w:szCs w:val="20"/>
        </w:rPr>
      </w:pP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Security of payments legislation – recent cases</w:t>
      </w:r>
      <w:r w:rsidRPr="00C3799F">
        <w:rPr>
          <w:rFonts w:ascii="Arial" w:hAnsi="Arial" w:cs="Arial"/>
          <w:sz w:val="20"/>
          <w:szCs w:val="20"/>
        </w:rPr>
        <w:t xml:space="preserve">, 2017, </w:t>
      </w:r>
      <w:proofErr w:type="spellStart"/>
      <w:r w:rsidRPr="00C3799F">
        <w:rPr>
          <w:rFonts w:ascii="Arial" w:hAnsi="Arial" w:cs="Arial"/>
          <w:sz w:val="20"/>
          <w:szCs w:val="20"/>
        </w:rPr>
        <w:t>Legalwise</w:t>
      </w:r>
      <w:proofErr w:type="spellEnd"/>
      <w:r w:rsidRPr="00C3799F">
        <w:rPr>
          <w:rFonts w:ascii="Arial" w:hAnsi="Arial" w:cs="Arial"/>
          <w:sz w:val="20"/>
          <w:szCs w:val="20"/>
        </w:rPr>
        <w:t xml:space="preserve"> (presentation).</w:t>
      </w:r>
    </w:p>
    <w:p w:rsidR="006B0146" w:rsidRPr="00C3799F" w:rsidRDefault="006B0146" w:rsidP="006B0146">
      <w:pPr>
        <w:rPr>
          <w:rFonts w:ascii="Arial" w:hAnsi="Arial"/>
          <w:b/>
          <w:sz w:val="20"/>
          <w:szCs w:val="20"/>
          <w:u w:val="single"/>
        </w:rPr>
      </w:pPr>
    </w:p>
    <w:p w:rsidR="006B0146" w:rsidRPr="00C3799F" w:rsidRDefault="006B0146" w:rsidP="006B0146">
      <w:pPr>
        <w:rPr>
          <w:rFonts w:ascii="Arial" w:hAnsi="Arial"/>
          <w:b/>
          <w:sz w:val="20"/>
          <w:szCs w:val="20"/>
          <w:u w:val="single"/>
        </w:rPr>
      </w:pPr>
      <w:r w:rsidRPr="00C3799F">
        <w:rPr>
          <w:rFonts w:ascii="Arial" w:hAnsi="Arial"/>
          <w:b/>
          <w:sz w:val="20"/>
          <w:szCs w:val="20"/>
          <w:u w:val="single"/>
        </w:rPr>
        <w:t>Taxation</w:t>
      </w:r>
    </w:p>
    <w:p w:rsidR="006B0146" w:rsidRPr="00C3799F" w:rsidRDefault="006B0146" w:rsidP="006B0146">
      <w:pPr>
        <w:rPr>
          <w:rFonts w:ascii="Arial" w:hAnsi="Arial"/>
          <w:b/>
          <w:sz w:val="20"/>
          <w:szCs w:val="20"/>
          <w:u w:val="single"/>
        </w:rPr>
      </w:pP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Cross-border tax minimization</w:t>
      </w:r>
      <w:r w:rsidRPr="00C3799F">
        <w:rPr>
          <w:rFonts w:ascii="Arial" w:hAnsi="Arial" w:cs="Arial"/>
          <w:sz w:val="20"/>
          <w:szCs w:val="20"/>
        </w:rPr>
        <w:t>, 2016, presented to the Australian Taxation Office.</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New landholder duty regime</w:t>
      </w:r>
      <w:r w:rsidRPr="00C3799F">
        <w:rPr>
          <w:rFonts w:ascii="Arial" w:hAnsi="Arial" w:cs="Arial"/>
          <w:sz w:val="20"/>
          <w:szCs w:val="20"/>
        </w:rPr>
        <w:t>, 2013, Law Institute of Victoria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Taxation essentials for non-tax lawyers</w:t>
      </w:r>
      <w:r w:rsidRPr="00C3799F">
        <w:rPr>
          <w:rFonts w:ascii="Arial" w:hAnsi="Arial" w:cs="Arial"/>
          <w:sz w:val="20"/>
          <w:szCs w:val="20"/>
        </w:rPr>
        <w:t xml:space="preserve">, 2011, Leo </w:t>
      </w:r>
      <w:proofErr w:type="spellStart"/>
      <w:r w:rsidRPr="00C3799F">
        <w:rPr>
          <w:rFonts w:ascii="Arial" w:hAnsi="Arial" w:cs="Arial"/>
          <w:sz w:val="20"/>
          <w:szCs w:val="20"/>
        </w:rPr>
        <w:t>Cussens</w:t>
      </w:r>
      <w:proofErr w:type="spellEnd"/>
      <w:r w:rsidRPr="00C3799F">
        <w:rPr>
          <w:rFonts w:ascii="Arial" w:hAnsi="Arial" w:cs="Arial"/>
          <w:sz w:val="20"/>
          <w:szCs w:val="20"/>
        </w:rPr>
        <w:t xml:space="preserve"> (presentation).</w:t>
      </w:r>
    </w:p>
    <w:p w:rsidR="006B0146" w:rsidRPr="00C3799F" w:rsidRDefault="006B0146" w:rsidP="006B0146">
      <w:pPr>
        <w:rPr>
          <w:rFonts w:ascii="Arial" w:hAnsi="Arial"/>
          <w:b/>
          <w:sz w:val="20"/>
          <w:szCs w:val="20"/>
          <w:u w:val="single"/>
        </w:rPr>
      </w:pPr>
    </w:p>
    <w:p w:rsidR="006B0146" w:rsidRPr="00C3799F" w:rsidRDefault="006B0146" w:rsidP="006B0146">
      <w:pPr>
        <w:rPr>
          <w:rFonts w:ascii="Arial" w:hAnsi="Arial"/>
          <w:b/>
          <w:sz w:val="20"/>
          <w:szCs w:val="20"/>
          <w:u w:val="single"/>
        </w:rPr>
      </w:pPr>
      <w:r w:rsidRPr="00C3799F">
        <w:rPr>
          <w:rFonts w:ascii="Arial" w:hAnsi="Arial"/>
          <w:b/>
          <w:sz w:val="20"/>
          <w:szCs w:val="20"/>
          <w:u w:val="single"/>
        </w:rPr>
        <w:t>Trusts and deceased estates</w:t>
      </w:r>
    </w:p>
    <w:p w:rsidR="006B0146" w:rsidRPr="00C3799F" w:rsidRDefault="006B0146" w:rsidP="006B0146">
      <w:pPr>
        <w:rPr>
          <w:rFonts w:ascii="Arial" w:hAnsi="Arial"/>
          <w:b/>
          <w:sz w:val="20"/>
          <w:szCs w:val="20"/>
          <w:u w:val="single"/>
        </w:rPr>
      </w:pP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Trust fundamentals</w:t>
      </w:r>
      <w:r w:rsidRPr="00C3799F">
        <w:rPr>
          <w:rFonts w:ascii="Arial" w:hAnsi="Arial" w:cs="Arial"/>
          <w:sz w:val="20"/>
          <w:szCs w:val="20"/>
        </w:rPr>
        <w:t>, October 2017, Society of Estate and Trust Practitioners Conference (paper and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Trust deed drafting and associated issues</w:t>
      </w:r>
      <w:r w:rsidRPr="00C3799F">
        <w:rPr>
          <w:rFonts w:ascii="Arial" w:hAnsi="Arial" w:cs="Arial"/>
          <w:sz w:val="20"/>
          <w:szCs w:val="20"/>
        </w:rPr>
        <w:t xml:space="preserve">, 2017, </w:t>
      </w:r>
      <w:proofErr w:type="spellStart"/>
      <w:r w:rsidRPr="00C3799F">
        <w:rPr>
          <w:rFonts w:ascii="Arial" w:hAnsi="Arial" w:cs="Arial"/>
          <w:sz w:val="20"/>
          <w:szCs w:val="20"/>
        </w:rPr>
        <w:t>Legalwise</w:t>
      </w:r>
      <w:proofErr w:type="spellEnd"/>
      <w:r w:rsidRPr="00C3799F">
        <w:rPr>
          <w:rFonts w:ascii="Arial" w:hAnsi="Arial" w:cs="Arial"/>
          <w:sz w:val="20"/>
          <w:szCs w:val="20"/>
        </w:rPr>
        <w:t xml:space="preserve"> (paper and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Variation of Trust Deeds</w:t>
      </w:r>
      <w:r w:rsidRPr="00C3799F">
        <w:rPr>
          <w:rFonts w:ascii="Arial" w:hAnsi="Arial" w:cs="Arial"/>
          <w:sz w:val="20"/>
          <w:szCs w:val="20"/>
        </w:rPr>
        <w:t xml:space="preserve">, 2013, </w:t>
      </w:r>
      <w:proofErr w:type="spellStart"/>
      <w:r w:rsidRPr="00C3799F">
        <w:rPr>
          <w:rFonts w:ascii="Arial" w:hAnsi="Arial" w:cs="Arial"/>
          <w:sz w:val="20"/>
          <w:szCs w:val="20"/>
        </w:rPr>
        <w:t>Legalwise</w:t>
      </w:r>
      <w:proofErr w:type="spellEnd"/>
      <w:r w:rsidRPr="00C3799F">
        <w:rPr>
          <w:rFonts w:ascii="Arial" w:hAnsi="Arial" w:cs="Arial"/>
          <w:sz w:val="20"/>
          <w:szCs w:val="20"/>
        </w:rPr>
        <w:t xml:space="preserve">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Deceased estates and taxation</w:t>
      </w:r>
      <w:r w:rsidRPr="00C3799F">
        <w:rPr>
          <w:rFonts w:ascii="Arial" w:hAnsi="Arial" w:cs="Arial"/>
          <w:sz w:val="20"/>
          <w:szCs w:val="20"/>
        </w:rPr>
        <w:t>, 2013, Law Institute of Victoria (presentation).</w:t>
      </w: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 xml:space="preserve">Issues with declarations of trust and settlements after </w:t>
      </w:r>
      <w:proofErr w:type="spellStart"/>
      <w:r w:rsidRPr="00C3799F">
        <w:rPr>
          <w:rFonts w:ascii="Arial" w:hAnsi="Arial" w:cs="Arial"/>
          <w:i/>
          <w:sz w:val="20"/>
          <w:szCs w:val="20"/>
        </w:rPr>
        <w:t>Oswal’s</w:t>
      </w:r>
      <w:proofErr w:type="spellEnd"/>
      <w:r w:rsidRPr="00C3799F">
        <w:rPr>
          <w:rFonts w:ascii="Arial" w:hAnsi="Arial" w:cs="Arial"/>
          <w:i/>
          <w:sz w:val="20"/>
          <w:szCs w:val="20"/>
        </w:rPr>
        <w:t xml:space="preserve"> case</w:t>
      </w:r>
      <w:r w:rsidRPr="00C3799F">
        <w:rPr>
          <w:rFonts w:ascii="Arial" w:hAnsi="Arial" w:cs="Arial"/>
          <w:sz w:val="20"/>
          <w:szCs w:val="20"/>
        </w:rPr>
        <w:t>, 2013, Tax Institute (presentation).</w:t>
      </w:r>
    </w:p>
    <w:p w:rsidR="006B0146" w:rsidRPr="00C3799F" w:rsidRDefault="006B0146" w:rsidP="006B0146">
      <w:pPr>
        <w:rPr>
          <w:rFonts w:ascii="Arial" w:hAnsi="Arial"/>
          <w:b/>
          <w:sz w:val="20"/>
          <w:szCs w:val="20"/>
          <w:u w:val="single"/>
        </w:rPr>
      </w:pPr>
    </w:p>
    <w:p w:rsidR="006B0146" w:rsidRPr="00C3799F" w:rsidRDefault="006B0146" w:rsidP="006B0146">
      <w:pPr>
        <w:rPr>
          <w:rFonts w:ascii="Arial" w:hAnsi="Arial"/>
          <w:b/>
          <w:sz w:val="20"/>
          <w:szCs w:val="20"/>
          <w:u w:val="single"/>
        </w:rPr>
      </w:pPr>
      <w:r w:rsidRPr="00C3799F">
        <w:rPr>
          <w:rFonts w:ascii="Arial" w:hAnsi="Arial"/>
          <w:b/>
          <w:sz w:val="20"/>
          <w:szCs w:val="20"/>
          <w:u w:val="single"/>
        </w:rPr>
        <w:t>Superannuation</w:t>
      </w:r>
    </w:p>
    <w:p w:rsidR="006B0146" w:rsidRPr="00C3799F" w:rsidRDefault="006B0146" w:rsidP="006B0146">
      <w:pPr>
        <w:rPr>
          <w:rFonts w:ascii="Arial" w:hAnsi="Arial"/>
          <w:b/>
          <w:sz w:val="20"/>
          <w:szCs w:val="20"/>
          <w:u w:val="single"/>
        </w:rPr>
      </w:pPr>
    </w:p>
    <w:p w:rsidR="006B0146" w:rsidRPr="00C3799F" w:rsidRDefault="006B0146" w:rsidP="006B0146">
      <w:pPr>
        <w:numPr>
          <w:ilvl w:val="0"/>
          <w:numId w:val="3"/>
        </w:numPr>
        <w:spacing w:after="60"/>
        <w:rPr>
          <w:rFonts w:ascii="Arial" w:hAnsi="Arial" w:cs="Arial"/>
          <w:sz w:val="20"/>
          <w:szCs w:val="20"/>
        </w:rPr>
      </w:pPr>
      <w:r w:rsidRPr="00C3799F">
        <w:rPr>
          <w:rFonts w:ascii="Arial" w:hAnsi="Arial" w:cs="Arial"/>
          <w:i/>
          <w:sz w:val="20"/>
          <w:szCs w:val="20"/>
        </w:rPr>
        <w:t>Superannuation death benefits</w:t>
      </w:r>
      <w:r w:rsidRPr="00C3799F">
        <w:rPr>
          <w:rFonts w:ascii="Arial" w:hAnsi="Arial" w:cs="Arial"/>
          <w:sz w:val="20"/>
          <w:szCs w:val="20"/>
        </w:rPr>
        <w:t>, 2013, Law Institute of Victoria (presentation).</w:t>
      </w:r>
    </w:p>
    <w:p w:rsidR="00C920B7" w:rsidRPr="00C3799F" w:rsidRDefault="00C920B7">
      <w:pPr>
        <w:rPr>
          <w:sz w:val="20"/>
          <w:szCs w:val="20"/>
        </w:rPr>
      </w:pPr>
    </w:p>
    <w:p w:rsidR="006B0146" w:rsidRPr="00C3799F" w:rsidRDefault="006B0146">
      <w:pPr>
        <w:rPr>
          <w:sz w:val="20"/>
          <w:szCs w:val="20"/>
        </w:rPr>
      </w:pPr>
    </w:p>
    <w:p w:rsidR="006B0146" w:rsidRPr="00C3799F" w:rsidRDefault="006B0146" w:rsidP="006B0146">
      <w:pPr>
        <w:tabs>
          <w:tab w:val="right" w:leader="underscore" w:pos="8505"/>
        </w:tabs>
        <w:rPr>
          <w:rFonts w:ascii="Arial" w:hAnsi="Arial"/>
          <w:b/>
          <w:sz w:val="20"/>
          <w:szCs w:val="20"/>
          <w:u w:val="single" w:color="BFBFBF" w:themeColor="background1" w:themeShade="BF"/>
        </w:rPr>
      </w:pPr>
      <w:r w:rsidRPr="00C3799F">
        <w:rPr>
          <w:rFonts w:ascii="Arial" w:hAnsi="Arial"/>
          <w:b/>
          <w:sz w:val="20"/>
          <w:szCs w:val="20"/>
          <w:u w:val="single" w:color="BFBFBF" w:themeColor="background1" w:themeShade="BF"/>
        </w:rPr>
        <w:t>Published articles</w:t>
      </w:r>
      <w:r w:rsidRPr="00C3799F">
        <w:rPr>
          <w:rFonts w:ascii="Arial" w:hAnsi="Arial"/>
          <w:b/>
          <w:color w:val="BFBFBF" w:themeColor="background1" w:themeShade="BF"/>
          <w:sz w:val="20"/>
          <w:szCs w:val="20"/>
          <w:u w:val="single" w:color="BFBFBF" w:themeColor="background1" w:themeShade="BF"/>
        </w:rPr>
        <w:tab/>
      </w:r>
    </w:p>
    <w:p w:rsidR="006B0146" w:rsidRPr="00C3799F" w:rsidRDefault="006B0146" w:rsidP="006B0146">
      <w:pPr>
        <w:rPr>
          <w:rFonts w:ascii="Arial" w:hAnsi="Arial"/>
          <w:b/>
          <w:i/>
          <w:sz w:val="20"/>
          <w:szCs w:val="20"/>
          <w:u w:val="single"/>
        </w:rPr>
      </w:pPr>
    </w:p>
    <w:p w:rsidR="006B0146" w:rsidRPr="00C3799F" w:rsidRDefault="006B0146" w:rsidP="006B0146">
      <w:pPr>
        <w:rPr>
          <w:rFonts w:ascii="Arial" w:hAnsi="Arial"/>
          <w:b/>
          <w:sz w:val="20"/>
          <w:szCs w:val="20"/>
          <w:u w:val="single"/>
        </w:rPr>
      </w:pPr>
      <w:r w:rsidRPr="00C3799F">
        <w:rPr>
          <w:rFonts w:ascii="Arial" w:hAnsi="Arial"/>
          <w:b/>
          <w:sz w:val="20"/>
          <w:szCs w:val="20"/>
          <w:u w:val="single"/>
        </w:rPr>
        <w:t>Administrative law</w:t>
      </w:r>
    </w:p>
    <w:p w:rsidR="006B0146" w:rsidRPr="00C3799F" w:rsidRDefault="006B0146" w:rsidP="006B0146">
      <w:pPr>
        <w:pStyle w:val="ListParagraph"/>
        <w:rPr>
          <w:rFonts w:ascii="Arial" w:hAnsi="Arial" w:cs="Arial"/>
          <w:sz w:val="20"/>
          <w:szCs w:val="20"/>
        </w:rPr>
      </w:pP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Casting a Challenge.  Law Institute of Victoria Journal, June 2009.</w:t>
      </w:r>
    </w:p>
    <w:p w:rsidR="006B0146" w:rsidRPr="00C3799F" w:rsidRDefault="006B0146" w:rsidP="006B0146">
      <w:pPr>
        <w:spacing w:after="200" w:line="276" w:lineRule="auto"/>
        <w:rPr>
          <w:rFonts w:ascii="Arial" w:hAnsi="Arial" w:cs="Arial"/>
          <w:b/>
          <w:sz w:val="20"/>
          <w:szCs w:val="20"/>
          <w:u w:val="single"/>
        </w:rPr>
      </w:pPr>
      <w:r w:rsidRPr="00C3799F">
        <w:rPr>
          <w:rFonts w:ascii="Arial" w:hAnsi="Arial" w:cs="Arial"/>
          <w:b/>
          <w:sz w:val="20"/>
          <w:szCs w:val="20"/>
          <w:u w:val="single"/>
        </w:rPr>
        <w:t>Bankruptcy and insolvency law</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Garnishee debt recovery provisions.  Taxation in Australia, 2013.</w:t>
      </w:r>
    </w:p>
    <w:p w:rsidR="006B0146" w:rsidRPr="00C3799F" w:rsidRDefault="006B0146" w:rsidP="006B0146">
      <w:pPr>
        <w:pStyle w:val="ListParagraph"/>
        <w:numPr>
          <w:ilvl w:val="0"/>
          <w:numId w:val="2"/>
        </w:numPr>
        <w:spacing w:after="200" w:line="276" w:lineRule="auto"/>
        <w:rPr>
          <w:rFonts w:ascii="Arial" w:hAnsi="Arial" w:cs="Arial"/>
          <w:i/>
          <w:sz w:val="20"/>
          <w:szCs w:val="20"/>
        </w:rPr>
      </w:pPr>
      <w:proofErr w:type="spellStart"/>
      <w:r w:rsidRPr="00C3799F">
        <w:rPr>
          <w:rFonts w:ascii="Arial" w:hAnsi="Arial" w:cs="Arial"/>
          <w:sz w:val="20"/>
          <w:szCs w:val="20"/>
        </w:rPr>
        <w:t>Saad</w:t>
      </w:r>
      <w:proofErr w:type="spellEnd"/>
      <w:r w:rsidRPr="00C3799F">
        <w:rPr>
          <w:rFonts w:ascii="Arial" w:hAnsi="Arial" w:cs="Arial"/>
          <w:sz w:val="20"/>
          <w:szCs w:val="20"/>
        </w:rPr>
        <w:t xml:space="preserve"> Investments and cross border insolvency.  Law Institute of Victoria Journal, 2012.</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Challenging statutory demands.  Law Institute of Victoria Journal, April 2010.</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Australia adopts the UNCITRAL Model Law.  NSW Law Society Journal, November 2008.</w:t>
      </w:r>
    </w:p>
    <w:p w:rsidR="006B0146" w:rsidRPr="00C3799F" w:rsidRDefault="006B0146" w:rsidP="006B0146">
      <w:pPr>
        <w:rPr>
          <w:rFonts w:ascii="Arial" w:hAnsi="Arial"/>
          <w:b/>
          <w:sz w:val="20"/>
          <w:szCs w:val="20"/>
          <w:u w:val="single"/>
        </w:rPr>
      </w:pPr>
      <w:r w:rsidRPr="00C3799F">
        <w:rPr>
          <w:rFonts w:ascii="Arial" w:hAnsi="Arial"/>
          <w:b/>
          <w:sz w:val="20"/>
          <w:szCs w:val="20"/>
          <w:u w:val="single"/>
        </w:rPr>
        <w:t>International law (including maritime and trade law)</w:t>
      </w:r>
    </w:p>
    <w:p w:rsidR="006B0146" w:rsidRPr="00C3799F" w:rsidRDefault="006B0146" w:rsidP="006B0146">
      <w:pPr>
        <w:pStyle w:val="ListParagraph"/>
        <w:rPr>
          <w:rFonts w:ascii="Arial" w:hAnsi="Arial"/>
          <w:i/>
          <w:sz w:val="20"/>
          <w:szCs w:val="20"/>
        </w:rPr>
      </w:pP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An Analysis of the Legal Regime for Krill Protection and Management in the Southern Ocean. Antarctic and Southern Ocean Law and Policy Occasional Paper 9, 2004.</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Sovereignty and foreign government investment in Australia.  CCH Tax Week, December 2005.</w:t>
      </w:r>
    </w:p>
    <w:p w:rsidR="006B0146" w:rsidRPr="00C3799F" w:rsidRDefault="006B0146" w:rsidP="006B0146">
      <w:pPr>
        <w:pStyle w:val="ListParagraph"/>
        <w:numPr>
          <w:ilvl w:val="0"/>
          <w:numId w:val="2"/>
        </w:numPr>
        <w:spacing w:after="200" w:line="276" w:lineRule="auto"/>
        <w:rPr>
          <w:rFonts w:ascii="Arial" w:hAnsi="Arial" w:cs="Arial"/>
          <w:sz w:val="20"/>
          <w:szCs w:val="20"/>
        </w:rPr>
      </w:pPr>
      <w:r w:rsidRPr="00C3799F">
        <w:rPr>
          <w:rFonts w:ascii="Arial" w:hAnsi="Arial" w:cs="Arial"/>
          <w:sz w:val="20"/>
          <w:szCs w:val="20"/>
        </w:rPr>
        <w:t xml:space="preserve">Fishing Overcapacity, Subsidies and the WTO System: An Antarctic Focus.  Antarctic and Southern Ocean Law and Policy Occasional Paper 10, 2006.  </w:t>
      </w:r>
    </w:p>
    <w:p w:rsidR="006B0146" w:rsidRPr="00C3799F" w:rsidRDefault="006B0146" w:rsidP="006B0146">
      <w:pPr>
        <w:rPr>
          <w:rFonts w:ascii="Arial" w:hAnsi="Arial"/>
          <w:b/>
          <w:sz w:val="20"/>
          <w:szCs w:val="20"/>
          <w:u w:val="single"/>
        </w:rPr>
      </w:pPr>
      <w:r w:rsidRPr="00C3799F">
        <w:rPr>
          <w:rFonts w:ascii="Arial" w:hAnsi="Arial"/>
          <w:b/>
          <w:sz w:val="20"/>
          <w:szCs w:val="20"/>
          <w:u w:val="single"/>
        </w:rPr>
        <w:t>International law (including maritime and trade law)</w:t>
      </w:r>
    </w:p>
    <w:p w:rsidR="006B0146" w:rsidRPr="00C3799F" w:rsidRDefault="006B0146" w:rsidP="006B0146">
      <w:pPr>
        <w:pStyle w:val="ListParagraph"/>
        <w:rPr>
          <w:rFonts w:ascii="Arial" w:hAnsi="Arial"/>
          <w:i/>
          <w:sz w:val="20"/>
          <w:szCs w:val="20"/>
        </w:rPr>
      </w:pP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 xml:space="preserve">Trade Restrictions for Antarctic Conservation </w:t>
      </w:r>
      <w:proofErr w:type="gramStart"/>
      <w:r w:rsidRPr="00C3799F">
        <w:rPr>
          <w:rFonts w:ascii="Arial" w:hAnsi="Arial" w:cs="Arial"/>
          <w:sz w:val="20"/>
          <w:szCs w:val="20"/>
        </w:rPr>
        <w:t>Under</w:t>
      </w:r>
      <w:proofErr w:type="gramEnd"/>
      <w:r w:rsidRPr="00C3799F">
        <w:rPr>
          <w:rFonts w:ascii="Arial" w:hAnsi="Arial" w:cs="Arial"/>
          <w:sz w:val="20"/>
          <w:szCs w:val="20"/>
        </w:rPr>
        <w:t xml:space="preserve"> the Free Trade Principles of the WTO System.  Southeastern Environmental Law Journal, 2006, </w:t>
      </w:r>
      <w:proofErr w:type="spellStart"/>
      <w:r w:rsidRPr="00C3799F">
        <w:rPr>
          <w:rFonts w:ascii="Arial" w:hAnsi="Arial" w:cs="Arial"/>
          <w:sz w:val="20"/>
          <w:szCs w:val="20"/>
        </w:rPr>
        <w:t>Vol</w:t>
      </w:r>
      <w:proofErr w:type="spellEnd"/>
      <w:r w:rsidRPr="00C3799F">
        <w:rPr>
          <w:rFonts w:ascii="Arial" w:hAnsi="Arial" w:cs="Arial"/>
          <w:sz w:val="20"/>
          <w:szCs w:val="20"/>
        </w:rPr>
        <w:t xml:space="preserve"> 14(2).</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 xml:space="preserve">The Precautionary Approach and Management of the Antarctic Krill.  European Journal of Environmental Law, 2006, </w:t>
      </w:r>
      <w:proofErr w:type="spellStart"/>
      <w:r w:rsidRPr="00C3799F">
        <w:rPr>
          <w:rFonts w:ascii="Arial" w:hAnsi="Arial" w:cs="Arial"/>
          <w:sz w:val="20"/>
          <w:szCs w:val="20"/>
        </w:rPr>
        <w:t>Vol</w:t>
      </w:r>
      <w:proofErr w:type="spellEnd"/>
      <w:r w:rsidRPr="00C3799F">
        <w:rPr>
          <w:rFonts w:ascii="Arial" w:hAnsi="Arial" w:cs="Arial"/>
          <w:sz w:val="20"/>
          <w:szCs w:val="20"/>
        </w:rPr>
        <w:t xml:space="preserve"> 18(2).</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lastRenderedPageBreak/>
        <w:t xml:space="preserve">The World Trade </w:t>
      </w:r>
      <w:proofErr w:type="spellStart"/>
      <w:r w:rsidRPr="00C3799F">
        <w:rPr>
          <w:rFonts w:ascii="Arial" w:hAnsi="Arial" w:cs="Arial"/>
          <w:sz w:val="20"/>
          <w:szCs w:val="20"/>
        </w:rPr>
        <w:t>Organisation</w:t>
      </w:r>
      <w:proofErr w:type="spellEnd"/>
      <w:r w:rsidRPr="00C3799F">
        <w:rPr>
          <w:rFonts w:ascii="Arial" w:hAnsi="Arial" w:cs="Arial"/>
          <w:sz w:val="20"/>
          <w:szCs w:val="20"/>
        </w:rPr>
        <w:t xml:space="preserve"> and Australian tax policy.  CCH Tax Week, April 2006.</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 xml:space="preserve">Taxing Illegal Fishing: A Proposal for Using Taxation Law to Reduce Profiteering from IUU Fishing Offences (co-authored with Dr Gail </w:t>
      </w:r>
      <w:proofErr w:type="spellStart"/>
      <w:r w:rsidRPr="00C3799F">
        <w:rPr>
          <w:rFonts w:ascii="Arial" w:hAnsi="Arial" w:cs="Arial"/>
          <w:sz w:val="20"/>
          <w:szCs w:val="20"/>
        </w:rPr>
        <w:t>Lugten</w:t>
      </w:r>
      <w:proofErr w:type="spellEnd"/>
      <w:r w:rsidRPr="00C3799F">
        <w:rPr>
          <w:rFonts w:ascii="Arial" w:hAnsi="Arial" w:cs="Arial"/>
          <w:sz w:val="20"/>
          <w:szCs w:val="20"/>
        </w:rPr>
        <w:t xml:space="preserve">).  International Journal of Marine and Coastal Law, December quarter 2007, </w:t>
      </w:r>
      <w:proofErr w:type="spellStart"/>
      <w:r w:rsidRPr="00C3799F">
        <w:rPr>
          <w:rFonts w:ascii="Arial" w:hAnsi="Arial" w:cs="Arial"/>
          <w:sz w:val="20"/>
          <w:szCs w:val="20"/>
        </w:rPr>
        <w:t>Vol</w:t>
      </w:r>
      <w:proofErr w:type="spellEnd"/>
      <w:r w:rsidRPr="00C3799F">
        <w:rPr>
          <w:rFonts w:ascii="Arial" w:hAnsi="Arial" w:cs="Arial"/>
          <w:sz w:val="20"/>
          <w:szCs w:val="20"/>
        </w:rPr>
        <w:t xml:space="preserve"> 22(2).</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 xml:space="preserve">State of Necessity: IUU Fishing in the CCAMLR Zone.  Ocean &amp; Coastal Law Journal (University of Maine), 2008, </w:t>
      </w:r>
      <w:proofErr w:type="spellStart"/>
      <w:r w:rsidRPr="00C3799F">
        <w:rPr>
          <w:rFonts w:ascii="Arial" w:hAnsi="Arial" w:cs="Arial"/>
          <w:sz w:val="20"/>
          <w:szCs w:val="20"/>
        </w:rPr>
        <w:t>Vol</w:t>
      </w:r>
      <w:proofErr w:type="spellEnd"/>
      <w:r w:rsidRPr="00C3799F">
        <w:rPr>
          <w:rFonts w:ascii="Arial" w:hAnsi="Arial" w:cs="Arial"/>
          <w:sz w:val="20"/>
          <w:szCs w:val="20"/>
        </w:rPr>
        <w:t xml:space="preserve"> 13(2).</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 xml:space="preserve">Recent Developments in the Law of the Sea: The </w:t>
      </w:r>
      <w:proofErr w:type="spellStart"/>
      <w:r w:rsidRPr="00C3799F">
        <w:rPr>
          <w:rFonts w:ascii="Arial" w:hAnsi="Arial" w:cs="Arial"/>
          <w:sz w:val="20"/>
          <w:szCs w:val="20"/>
        </w:rPr>
        <w:t>Tomimaru</w:t>
      </w:r>
      <w:proofErr w:type="spellEnd"/>
      <w:r w:rsidRPr="00C3799F">
        <w:rPr>
          <w:rFonts w:ascii="Arial" w:hAnsi="Arial" w:cs="Arial"/>
          <w:sz w:val="20"/>
          <w:szCs w:val="20"/>
        </w:rPr>
        <w:t xml:space="preserve"> and </w:t>
      </w:r>
      <w:proofErr w:type="spellStart"/>
      <w:r w:rsidRPr="00C3799F">
        <w:rPr>
          <w:rFonts w:ascii="Arial" w:hAnsi="Arial" w:cs="Arial"/>
          <w:sz w:val="20"/>
          <w:szCs w:val="20"/>
        </w:rPr>
        <w:t>Hoshinmaru</w:t>
      </w:r>
      <w:proofErr w:type="spellEnd"/>
      <w:r w:rsidRPr="00C3799F">
        <w:rPr>
          <w:rFonts w:ascii="Arial" w:hAnsi="Arial" w:cs="Arial"/>
          <w:sz w:val="20"/>
          <w:szCs w:val="20"/>
        </w:rPr>
        <w:t xml:space="preserve"> cases. International Journal of Marine and Coastal Law, June quarter 2008, </w:t>
      </w:r>
      <w:proofErr w:type="spellStart"/>
      <w:r w:rsidRPr="00C3799F">
        <w:rPr>
          <w:rFonts w:ascii="Arial" w:hAnsi="Arial" w:cs="Arial"/>
          <w:sz w:val="20"/>
          <w:szCs w:val="20"/>
        </w:rPr>
        <w:t>Vol</w:t>
      </w:r>
      <w:proofErr w:type="spellEnd"/>
      <w:r w:rsidRPr="00C3799F">
        <w:rPr>
          <w:rFonts w:ascii="Arial" w:hAnsi="Arial" w:cs="Arial"/>
          <w:sz w:val="20"/>
          <w:szCs w:val="20"/>
        </w:rPr>
        <w:t xml:space="preserve"> 23(2).</w:t>
      </w:r>
    </w:p>
    <w:p w:rsidR="006B0146" w:rsidRPr="00C3799F" w:rsidRDefault="006B0146" w:rsidP="006B0146">
      <w:pPr>
        <w:spacing w:after="200" w:line="276" w:lineRule="auto"/>
        <w:rPr>
          <w:rFonts w:ascii="Arial" w:hAnsi="Arial" w:cs="Arial"/>
          <w:b/>
          <w:sz w:val="20"/>
          <w:szCs w:val="20"/>
          <w:u w:val="single"/>
        </w:rPr>
      </w:pPr>
      <w:r w:rsidRPr="00C3799F">
        <w:rPr>
          <w:rFonts w:ascii="Arial" w:hAnsi="Arial" w:cs="Arial"/>
          <w:b/>
          <w:sz w:val="20"/>
          <w:szCs w:val="20"/>
          <w:u w:val="single"/>
        </w:rPr>
        <w:t>Insurance</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Life insurance: paying a premium. CCH Tax Week, April 2007.</w:t>
      </w:r>
    </w:p>
    <w:p w:rsidR="006B0146" w:rsidRPr="00C3799F" w:rsidRDefault="006B0146" w:rsidP="006B0146">
      <w:pPr>
        <w:spacing w:after="200" w:line="276" w:lineRule="auto"/>
        <w:rPr>
          <w:rFonts w:ascii="Arial" w:hAnsi="Arial" w:cs="Arial"/>
          <w:b/>
          <w:sz w:val="20"/>
          <w:szCs w:val="20"/>
          <w:u w:val="single"/>
        </w:rPr>
      </w:pPr>
      <w:r w:rsidRPr="00C3799F">
        <w:rPr>
          <w:rFonts w:ascii="Arial" w:hAnsi="Arial" w:cs="Arial"/>
          <w:b/>
          <w:sz w:val="20"/>
          <w:szCs w:val="20"/>
          <w:u w:val="single"/>
        </w:rPr>
        <w:t>Property law, property taxes and trusts</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Trust stripping is a dangerous game.  CCH Tax Week, March 2006.</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Land Tax and Retirement – not much use? CCH Tax Week, February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Of Leases, reversionary estates and stamp duty.  ATP Thomson Weekly Tax Bulletin, April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Stamp duty and changing a responsible entity of a managed fund.  ATP Thomson Weekly Tax Bulletin, April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Stamp duty exemption for transfers to beneficiaries of a trust.  CCH Tax Week, August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GST: In specie distributions from a discretionary trust.  CCH Tax Week, August 2008.</w:t>
      </w:r>
    </w:p>
    <w:p w:rsidR="006B0146" w:rsidRPr="00C3799F" w:rsidRDefault="006B0146" w:rsidP="006B0146">
      <w:pPr>
        <w:spacing w:after="200" w:line="276" w:lineRule="auto"/>
        <w:rPr>
          <w:rFonts w:ascii="Arial" w:hAnsi="Arial" w:cs="Arial"/>
          <w:b/>
          <w:sz w:val="20"/>
          <w:szCs w:val="20"/>
          <w:u w:val="single"/>
        </w:rPr>
      </w:pPr>
      <w:r w:rsidRPr="00C3799F">
        <w:rPr>
          <w:rFonts w:ascii="Arial" w:hAnsi="Arial" w:cs="Arial"/>
          <w:b/>
          <w:sz w:val="20"/>
          <w:szCs w:val="20"/>
          <w:u w:val="single"/>
        </w:rPr>
        <w:t>Taxation</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Controlled Foreign Companies and Attribution of Futures/Forward Contract Gains. Tax Specialist, April 2006.</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NANE: The Feeling’s Mutual. ATP Thomson Weekly Tax Bulletin, May 2006.</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Sifting through Value Shifting. ATP Thomson Weekly Tax Bulletin, July 2006.</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 xml:space="preserve">Rumble in the Tax Act: 23AJ </w:t>
      </w:r>
      <w:proofErr w:type="spellStart"/>
      <w:r w:rsidRPr="00C3799F">
        <w:rPr>
          <w:rFonts w:ascii="Arial" w:hAnsi="Arial" w:cs="Arial"/>
          <w:sz w:val="20"/>
          <w:szCs w:val="20"/>
        </w:rPr>
        <w:t>vs</w:t>
      </w:r>
      <w:proofErr w:type="spellEnd"/>
      <w:r w:rsidRPr="00C3799F">
        <w:rPr>
          <w:rFonts w:ascii="Arial" w:hAnsi="Arial" w:cs="Arial"/>
          <w:sz w:val="20"/>
          <w:szCs w:val="20"/>
        </w:rPr>
        <w:t xml:space="preserve"> 23AI.  CCH Tax Week, August 2006.</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Let’s Get Active! The CGT Participation Exemption.  Taxation in Australia, September 2006.</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Division 7A – How Foreign is it? ATP Thomson Weekly Tax Bulletin, January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The Financial Institution interest exemption under the US Double Tax Agreement.  The Tax Specialist, February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Double tax treaties and the new non-resident CGT rules. Australian Tax Review, March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Attribution? It is a guarantee. ATP Thomson Weekly Tax Bulletin, March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Value Shifting: Avoiding its Perils. Taxation in Australia, March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proofErr w:type="spellStart"/>
      <w:r w:rsidRPr="00C3799F">
        <w:rPr>
          <w:rFonts w:ascii="Arial" w:hAnsi="Arial" w:cs="Arial"/>
          <w:i/>
          <w:sz w:val="20"/>
          <w:szCs w:val="20"/>
        </w:rPr>
        <w:t>Indooroopilly</w:t>
      </w:r>
      <w:proofErr w:type="spellEnd"/>
      <w:r w:rsidRPr="00C3799F">
        <w:rPr>
          <w:rFonts w:ascii="Arial" w:hAnsi="Arial" w:cs="Arial"/>
          <w:i/>
          <w:sz w:val="20"/>
          <w:szCs w:val="20"/>
        </w:rPr>
        <w:t xml:space="preserve"> </w:t>
      </w:r>
      <w:r w:rsidRPr="00C3799F">
        <w:rPr>
          <w:rFonts w:ascii="Arial" w:hAnsi="Arial" w:cs="Arial"/>
          <w:sz w:val="20"/>
          <w:szCs w:val="20"/>
        </w:rPr>
        <w:t>case.  CCH Tax Week, March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Beware s 47A! Tax Specialist, April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Board of Taxation review of the foreign income anti-deferral regimes. CCH Tax Week, June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 xml:space="preserve">They </w:t>
      </w:r>
      <w:proofErr w:type="gramStart"/>
      <w:r w:rsidRPr="00C3799F">
        <w:rPr>
          <w:rFonts w:ascii="Arial" w:hAnsi="Arial" w:cs="Arial"/>
          <w:sz w:val="20"/>
          <w:szCs w:val="20"/>
        </w:rPr>
        <w:t>Should</w:t>
      </w:r>
      <w:proofErr w:type="gramEnd"/>
      <w:r w:rsidRPr="00C3799F">
        <w:rPr>
          <w:rFonts w:ascii="Arial" w:hAnsi="Arial" w:cs="Arial"/>
          <w:sz w:val="20"/>
          <w:szCs w:val="20"/>
        </w:rPr>
        <w:t xml:space="preserve"> be </w:t>
      </w:r>
      <w:proofErr w:type="spellStart"/>
      <w:r w:rsidRPr="00C3799F">
        <w:rPr>
          <w:rFonts w:ascii="Arial" w:hAnsi="Arial" w:cs="Arial"/>
          <w:sz w:val="20"/>
          <w:szCs w:val="20"/>
        </w:rPr>
        <w:t>Institutionalised</w:t>
      </w:r>
      <w:proofErr w:type="spellEnd"/>
      <w:r w:rsidRPr="00C3799F">
        <w:rPr>
          <w:rFonts w:ascii="Arial" w:hAnsi="Arial" w:cs="Arial"/>
          <w:sz w:val="20"/>
          <w:szCs w:val="20"/>
        </w:rPr>
        <w:t>: the AFI exemptions in the CFC legislation. Tax Specialist, June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Lifting the Quarantine with TLAB 4. CCH Tax Week, July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Treaties, Trusts and Business Profits: What a Capital Idea! CCH Tax Week, July 2007.</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Foreign tax credits and overseas investment: More reform necessary? Australian Tax Review, March quarter 2008.</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Celebrating the demise of foreign tax credit quarantining.  ATP Weekly Tax Bulletin, May 2008.</w:t>
      </w:r>
    </w:p>
    <w:p w:rsidR="006B0146" w:rsidRPr="00C3799F" w:rsidRDefault="006B0146" w:rsidP="006B0146">
      <w:pPr>
        <w:pStyle w:val="ListParagraph"/>
        <w:numPr>
          <w:ilvl w:val="0"/>
          <w:numId w:val="2"/>
        </w:numPr>
        <w:spacing w:after="200" w:line="276" w:lineRule="auto"/>
        <w:rPr>
          <w:rFonts w:ascii="Arial" w:hAnsi="Arial" w:cs="Arial"/>
          <w:i/>
          <w:sz w:val="20"/>
          <w:szCs w:val="20"/>
        </w:rPr>
      </w:pPr>
      <w:r w:rsidRPr="00C3799F">
        <w:rPr>
          <w:rFonts w:ascii="Arial" w:hAnsi="Arial" w:cs="Arial"/>
          <w:sz w:val="20"/>
          <w:szCs w:val="20"/>
        </w:rPr>
        <w:t xml:space="preserve">Deductibility: revisiting basic concepts in the </w:t>
      </w:r>
      <w:proofErr w:type="spellStart"/>
      <w:r w:rsidRPr="00C3799F">
        <w:rPr>
          <w:rFonts w:ascii="Arial" w:hAnsi="Arial" w:cs="Arial"/>
          <w:sz w:val="20"/>
          <w:szCs w:val="20"/>
        </w:rPr>
        <w:t>Spriggs</w:t>
      </w:r>
      <w:proofErr w:type="spellEnd"/>
      <w:r w:rsidRPr="00C3799F">
        <w:rPr>
          <w:rFonts w:ascii="Arial" w:hAnsi="Arial" w:cs="Arial"/>
          <w:sz w:val="20"/>
          <w:szCs w:val="20"/>
        </w:rPr>
        <w:t xml:space="preserve"> case.  CCH Tax Week, September 2008.</w:t>
      </w:r>
    </w:p>
    <w:p w:rsidR="006B0146" w:rsidRPr="00C3799F" w:rsidRDefault="006B0146" w:rsidP="006B0146">
      <w:pPr>
        <w:pStyle w:val="ListParagraph"/>
        <w:numPr>
          <w:ilvl w:val="0"/>
          <w:numId w:val="2"/>
        </w:numPr>
        <w:spacing w:after="200" w:line="276" w:lineRule="auto"/>
        <w:rPr>
          <w:rFonts w:ascii="Verdana" w:eastAsia="Times New Roman" w:hAnsi="Verdana" w:cs="Times New Roman"/>
          <w:color w:val="000000"/>
          <w:sz w:val="20"/>
          <w:szCs w:val="20"/>
          <w:lang w:eastAsia="en-AU"/>
        </w:rPr>
      </w:pPr>
      <w:r w:rsidRPr="00C3799F">
        <w:rPr>
          <w:rFonts w:ascii="Arial" w:hAnsi="Arial" w:cs="Arial"/>
          <w:sz w:val="20"/>
          <w:szCs w:val="20"/>
        </w:rPr>
        <w:lastRenderedPageBreak/>
        <w:t>Some recent developments in fringe benefits tax.  CCH Tax Week, December 2008.</w:t>
      </w:r>
    </w:p>
    <w:p w:rsidR="006B0146" w:rsidRPr="00C3799F" w:rsidRDefault="006B0146">
      <w:pPr>
        <w:rPr>
          <w:sz w:val="20"/>
          <w:szCs w:val="20"/>
        </w:rPr>
      </w:pPr>
    </w:p>
    <w:sectPr w:rsidR="006B0146" w:rsidRPr="00C3799F" w:rsidSect="00C920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43B"/>
    <w:multiLevelType w:val="hybridMultilevel"/>
    <w:tmpl w:val="4D563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947462"/>
    <w:multiLevelType w:val="hybridMultilevel"/>
    <w:tmpl w:val="3D622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1B3697"/>
    <w:multiLevelType w:val="hybridMultilevel"/>
    <w:tmpl w:val="7D7C68FA"/>
    <w:lvl w:ilvl="0" w:tplc="B36A81B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146"/>
    <w:rsid w:val="00104B05"/>
    <w:rsid w:val="00162C8E"/>
    <w:rsid w:val="0040533E"/>
    <w:rsid w:val="004B55C4"/>
    <w:rsid w:val="006B0146"/>
    <w:rsid w:val="00746406"/>
    <w:rsid w:val="00805210"/>
    <w:rsid w:val="008100B1"/>
    <w:rsid w:val="00A56AE8"/>
    <w:rsid w:val="00C3799F"/>
    <w:rsid w:val="00C920B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4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dcterms:created xsi:type="dcterms:W3CDTF">2017-11-26T10:07:00Z</dcterms:created>
  <dcterms:modified xsi:type="dcterms:W3CDTF">2017-11-26T10:43:00Z</dcterms:modified>
</cp:coreProperties>
</file>