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BE1" w:rsidRPr="005A0884" w:rsidRDefault="000A09FE" w:rsidP="00B30CE1">
      <w:pPr>
        <w:jc w:val="center"/>
        <w:rPr>
          <w:rFonts w:ascii="Bookman Old Style" w:hAnsi="Bookman Old Style"/>
          <w:b/>
          <w:sz w:val="24"/>
          <w:szCs w:val="24"/>
        </w:rPr>
      </w:pPr>
      <w:r>
        <w:rPr>
          <w:rFonts w:ascii="Bookman Old Style" w:hAnsi="Bookman Old Style"/>
          <w:b/>
          <w:sz w:val="24"/>
          <w:szCs w:val="24"/>
        </w:rPr>
        <w:t>Green</w:t>
      </w:r>
      <w:r w:rsidR="00DD48DF">
        <w:rPr>
          <w:rFonts w:ascii="Bookman Old Style" w:hAnsi="Bookman Old Style"/>
          <w:b/>
          <w:sz w:val="24"/>
          <w:szCs w:val="24"/>
        </w:rPr>
        <w:t>s List CPD: the Renaissance of Public Liability C</w:t>
      </w:r>
      <w:r w:rsidR="00B30CE1" w:rsidRPr="005A0884">
        <w:rPr>
          <w:rFonts w:ascii="Bookman Old Style" w:hAnsi="Bookman Old Style"/>
          <w:b/>
          <w:sz w:val="24"/>
          <w:szCs w:val="24"/>
        </w:rPr>
        <w:t xml:space="preserve">laims </w:t>
      </w:r>
    </w:p>
    <w:p w:rsidR="00094EE6" w:rsidRDefault="00094EE6" w:rsidP="00B30CE1">
      <w:pPr>
        <w:jc w:val="center"/>
        <w:rPr>
          <w:rFonts w:ascii="Bookman Old Style" w:hAnsi="Bookman Old Style"/>
          <w:sz w:val="24"/>
          <w:szCs w:val="24"/>
        </w:rPr>
      </w:pPr>
      <w:r>
        <w:rPr>
          <w:rFonts w:ascii="Bookman Old Style" w:hAnsi="Bookman Old Style"/>
          <w:sz w:val="24"/>
          <w:szCs w:val="24"/>
        </w:rPr>
        <w:t>By P G Hamilton</w:t>
      </w:r>
      <w:r w:rsidR="00452150">
        <w:rPr>
          <w:rStyle w:val="FootnoteReference"/>
          <w:rFonts w:ascii="Bookman Old Style" w:hAnsi="Bookman Old Style"/>
          <w:sz w:val="24"/>
          <w:szCs w:val="24"/>
        </w:rPr>
        <w:footnoteReference w:id="1"/>
      </w:r>
      <w:r>
        <w:rPr>
          <w:rFonts w:ascii="Bookman Old Style" w:hAnsi="Bookman Old Style"/>
          <w:sz w:val="24"/>
          <w:szCs w:val="24"/>
        </w:rPr>
        <w:t xml:space="preserve"> </w:t>
      </w:r>
    </w:p>
    <w:p w:rsidR="00487513" w:rsidRPr="00166BE4" w:rsidRDefault="00166BE4" w:rsidP="00166BE4">
      <w:pPr>
        <w:rPr>
          <w:rFonts w:ascii="Bookman Old Style" w:hAnsi="Bookman Old Style"/>
          <w:b/>
          <w:sz w:val="24"/>
          <w:szCs w:val="24"/>
        </w:rPr>
      </w:pPr>
      <w:r>
        <w:rPr>
          <w:rFonts w:ascii="Bookman Old Style" w:hAnsi="Bookman Old Style"/>
          <w:b/>
          <w:sz w:val="24"/>
          <w:szCs w:val="24"/>
        </w:rPr>
        <w:t xml:space="preserve">BACKGROUND </w:t>
      </w:r>
    </w:p>
    <w:p w:rsidR="001D463D" w:rsidRPr="0075546D" w:rsidRDefault="00A3584F" w:rsidP="0075546D">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 xml:space="preserve">For as many straightforward </w:t>
      </w:r>
      <w:r w:rsidR="00E170D1">
        <w:rPr>
          <w:rFonts w:ascii="Bookman Old Style" w:hAnsi="Bookman Old Style"/>
          <w:sz w:val="24"/>
          <w:szCs w:val="24"/>
        </w:rPr>
        <w:t>public liability claims that come across our desk</w:t>
      </w:r>
      <w:r w:rsidR="0080375A">
        <w:rPr>
          <w:rFonts w:ascii="Bookman Old Style" w:hAnsi="Bookman Old Style"/>
          <w:sz w:val="24"/>
          <w:szCs w:val="24"/>
        </w:rPr>
        <w:t>s</w:t>
      </w:r>
      <w:r w:rsidR="00E170D1">
        <w:rPr>
          <w:rFonts w:ascii="Bookman Old Style" w:hAnsi="Bookman Old Style"/>
          <w:sz w:val="24"/>
          <w:szCs w:val="24"/>
        </w:rPr>
        <w:t xml:space="preserve">, </w:t>
      </w:r>
      <w:r w:rsidR="00064CC4">
        <w:rPr>
          <w:rFonts w:ascii="Bookman Old Style" w:hAnsi="Bookman Old Style"/>
          <w:sz w:val="24"/>
          <w:szCs w:val="24"/>
        </w:rPr>
        <w:t xml:space="preserve">we see tricker claims crop up. </w:t>
      </w:r>
      <w:r w:rsidR="0075546D">
        <w:rPr>
          <w:rFonts w:ascii="Bookman Old Style" w:hAnsi="Bookman Old Style"/>
          <w:sz w:val="24"/>
          <w:szCs w:val="24"/>
        </w:rPr>
        <w:t xml:space="preserve"> </w:t>
      </w:r>
      <w:r w:rsidR="00FC3D64" w:rsidRPr="0075546D">
        <w:rPr>
          <w:rFonts w:ascii="Bookman Old Style" w:hAnsi="Bookman Old Style"/>
          <w:sz w:val="24"/>
          <w:szCs w:val="24"/>
        </w:rPr>
        <w:t xml:space="preserve">We see arguments about contractual waivers, </w:t>
      </w:r>
      <w:r w:rsidR="00C10430" w:rsidRPr="0075546D">
        <w:rPr>
          <w:rFonts w:ascii="Bookman Old Style" w:hAnsi="Bookman Old Style"/>
          <w:sz w:val="24"/>
          <w:szCs w:val="24"/>
        </w:rPr>
        <w:t>warning signs</w:t>
      </w:r>
      <w:r w:rsidR="00F0136E" w:rsidRPr="0075546D">
        <w:rPr>
          <w:rFonts w:ascii="Bookman Old Style" w:hAnsi="Bookman Old Style"/>
          <w:sz w:val="24"/>
          <w:szCs w:val="24"/>
        </w:rPr>
        <w:t xml:space="preserve"> and </w:t>
      </w:r>
      <w:r w:rsidR="00EB420E" w:rsidRPr="0075546D">
        <w:rPr>
          <w:rFonts w:ascii="Bookman Old Style" w:hAnsi="Bookman Old Style"/>
          <w:sz w:val="24"/>
          <w:szCs w:val="24"/>
        </w:rPr>
        <w:t xml:space="preserve">all manner of sections from </w:t>
      </w:r>
      <w:r w:rsidR="00F05BF9" w:rsidRPr="0075546D">
        <w:rPr>
          <w:rFonts w:ascii="Bookman Old Style" w:hAnsi="Bookman Old Style"/>
          <w:sz w:val="24"/>
          <w:szCs w:val="24"/>
        </w:rPr>
        <w:t xml:space="preserve">consumer law provisions </w:t>
      </w:r>
      <w:r w:rsidR="00723F3B" w:rsidRPr="0075546D">
        <w:rPr>
          <w:rFonts w:ascii="Bookman Old Style" w:hAnsi="Bookman Old Style"/>
          <w:sz w:val="24"/>
          <w:szCs w:val="24"/>
        </w:rPr>
        <w:t>scattered</w:t>
      </w:r>
      <w:r w:rsidR="0007437F" w:rsidRPr="0075546D">
        <w:rPr>
          <w:rFonts w:ascii="Bookman Old Style" w:hAnsi="Bookman Old Style"/>
          <w:sz w:val="24"/>
          <w:szCs w:val="24"/>
        </w:rPr>
        <w:t xml:space="preserve"> across pleadings</w:t>
      </w:r>
      <w:r w:rsidR="000F4EA3" w:rsidRPr="0075546D">
        <w:rPr>
          <w:rFonts w:ascii="Bookman Old Style" w:hAnsi="Bookman Old Style"/>
          <w:sz w:val="24"/>
          <w:szCs w:val="24"/>
        </w:rPr>
        <w:t xml:space="preserve">. </w:t>
      </w:r>
      <w:r w:rsidR="00723F3B" w:rsidRPr="0075546D">
        <w:rPr>
          <w:rFonts w:ascii="Bookman Old Style" w:hAnsi="Bookman Old Style"/>
          <w:sz w:val="24"/>
          <w:szCs w:val="24"/>
        </w:rPr>
        <w:t xml:space="preserve"> </w:t>
      </w:r>
    </w:p>
    <w:p w:rsidR="003B2C22" w:rsidRDefault="003B2C22" w:rsidP="0014226B">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What we don’t see</w:t>
      </w:r>
      <w:r w:rsidR="00DC206E">
        <w:rPr>
          <w:rFonts w:ascii="Bookman Old Style" w:hAnsi="Bookman Old Style"/>
          <w:sz w:val="24"/>
          <w:szCs w:val="24"/>
        </w:rPr>
        <w:t xml:space="preserve">, not yet anyway, </w:t>
      </w:r>
      <w:r w:rsidR="00734F83">
        <w:rPr>
          <w:rFonts w:ascii="Bookman Old Style" w:hAnsi="Bookman Old Style"/>
          <w:sz w:val="24"/>
          <w:szCs w:val="24"/>
        </w:rPr>
        <w:t>are Victorian cases</w:t>
      </w:r>
      <w:r w:rsidR="00AD7EDE">
        <w:rPr>
          <w:rFonts w:ascii="Bookman Old Style" w:hAnsi="Bookman Old Style"/>
          <w:sz w:val="24"/>
          <w:szCs w:val="24"/>
        </w:rPr>
        <w:t xml:space="preserve"> testing </w:t>
      </w:r>
      <w:r w:rsidR="00F01F4B">
        <w:rPr>
          <w:rFonts w:ascii="Bookman Old Style" w:hAnsi="Bookman Old Style"/>
          <w:sz w:val="24"/>
          <w:szCs w:val="24"/>
        </w:rPr>
        <w:t xml:space="preserve">the effect of these waivers, those signs or </w:t>
      </w:r>
      <w:r w:rsidR="00D60FDA">
        <w:rPr>
          <w:rFonts w:ascii="Bookman Old Style" w:hAnsi="Bookman Old Style"/>
          <w:sz w:val="24"/>
          <w:szCs w:val="24"/>
        </w:rPr>
        <w:t xml:space="preserve">the </w:t>
      </w:r>
      <w:r w:rsidR="009402B2">
        <w:rPr>
          <w:rFonts w:ascii="Bookman Old Style" w:hAnsi="Bookman Old Style"/>
          <w:sz w:val="24"/>
          <w:szCs w:val="24"/>
        </w:rPr>
        <w:t xml:space="preserve">application of the </w:t>
      </w:r>
      <w:r w:rsidR="00D60FDA">
        <w:rPr>
          <w:rFonts w:ascii="Bookman Old Style" w:hAnsi="Bookman Old Style"/>
          <w:sz w:val="24"/>
          <w:szCs w:val="24"/>
        </w:rPr>
        <w:t xml:space="preserve">many sections of the </w:t>
      </w:r>
      <w:r w:rsidR="003A4E14">
        <w:rPr>
          <w:rFonts w:ascii="Bookman Old Style" w:hAnsi="Bookman Old Style"/>
          <w:sz w:val="24"/>
          <w:szCs w:val="24"/>
        </w:rPr>
        <w:t xml:space="preserve">Australian Consumer Law. </w:t>
      </w:r>
    </w:p>
    <w:p w:rsidR="00923A5A" w:rsidRDefault="00E114B1" w:rsidP="0014226B">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 xml:space="preserve">This is the first time, in a long time, where </w:t>
      </w:r>
      <w:r w:rsidR="003C5DBA">
        <w:rPr>
          <w:rFonts w:ascii="Bookman Old Style" w:hAnsi="Bookman Old Style"/>
          <w:sz w:val="24"/>
          <w:szCs w:val="24"/>
        </w:rPr>
        <w:t>there is a</w:t>
      </w:r>
      <w:r w:rsidR="005061E7">
        <w:rPr>
          <w:rFonts w:ascii="Bookman Old Style" w:hAnsi="Bookman Old Style"/>
          <w:sz w:val="24"/>
          <w:szCs w:val="24"/>
        </w:rPr>
        <w:t xml:space="preserve"> burgeoning </w:t>
      </w:r>
      <w:r w:rsidR="00D273AF">
        <w:rPr>
          <w:rFonts w:ascii="Bookman Old Style" w:hAnsi="Bookman Old Style"/>
          <w:sz w:val="24"/>
          <w:szCs w:val="24"/>
        </w:rPr>
        <w:t xml:space="preserve">of </w:t>
      </w:r>
      <w:r w:rsidR="005061E7">
        <w:rPr>
          <w:rFonts w:ascii="Bookman Old Style" w:hAnsi="Bookman Old Style"/>
          <w:sz w:val="24"/>
          <w:szCs w:val="24"/>
        </w:rPr>
        <w:t xml:space="preserve">public liability claims, </w:t>
      </w:r>
      <w:r w:rsidR="00D273AF">
        <w:rPr>
          <w:rFonts w:ascii="Bookman Old Style" w:hAnsi="Bookman Old Style"/>
          <w:sz w:val="24"/>
          <w:szCs w:val="24"/>
        </w:rPr>
        <w:t>so it seems to me to be</w:t>
      </w:r>
      <w:r w:rsidR="005061E7">
        <w:rPr>
          <w:rFonts w:ascii="Bookman Old Style" w:hAnsi="Bookman Old Style"/>
          <w:sz w:val="24"/>
          <w:szCs w:val="24"/>
        </w:rPr>
        <w:t xml:space="preserve"> timely to </w:t>
      </w:r>
      <w:r w:rsidR="003D27A1">
        <w:rPr>
          <w:rFonts w:ascii="Bookman Old Style" w:hAnsi="Bookman Old Style"/>
          <w:sz w:val="24"/>
          <w:szCs w:val="24"/>
        </w:rPr>
        <w:t xml:space="preserve">look </w:t>
      </w:r>
      <w:r w:rsidR="00583AAE">
        <w:rPr>
          <w:rFonts w:ascii="Bookman Old Style" w:hAnsi="Bookman Old Style"/>
          <w:sz w:val="24"/>
          <w:szCs w:val="24"/>
        </w:rPr>
        <w:t>beneath</w:t>
      </w:r>
      <w:r w:rsidR="00A952CD">
        <w:rPr>
          <w:rFonts w:ascii="Bookman Old Style" w:hAnsi="Bookman Old Style"/>
          <w:sz w:val="24"/>
          <w:szCs w:val="24"/>
        </w:rPr>
        <w:t xml:space="preserve"> the surface at </w:t>
      </w:r>
      <w:r w:rsidR="00583AAE">
        <w:rPr>
          <w:rFonts w:ascii="Bookman Old Style" w:hAnsi="Bookman Old Style"/>
          <w:sz w:val="24"/>
          <w:szCs w:val="24"/>
        </w:rPr>
        <w:t>some</w:t>
      </w:r>
      <w:r w:rsidR="00A952CD">
        <w:rPr>
          <w:rFonts w:ascii="Bookman Old Style" w:hAnsi="Bookman Old Style"/>
          <w:sz w:val="24"/>
          <w:szCs w:val="24"/>
        </w:rPr>
        <w:t xml:space="preserve"> </w:t>
      </w:r>
      <w:r w:rsidR="001F0F3D">
        <w:rPr>
          <w:rFonts w:ascii="Bookman Old Style" w:hAnsi="Bookman Old Style"/>
          <w:sz w:val="24"/>
          <w:szCs w:val="24"/>
        </w:rPr>
        <w:t xml:space="preserve">long-forgotten </w:t>
      </w:r>
      <w:r w:rsidR="00A952CD">
        <w:rPr>
          <w:rFonts w:ascii="Bookman Old Style" w:hAnsi="Bookman Old Style"/>
          <w:sz w:val="24"/>
          <w:szCs w:val="24"/>
        </w:rPr>
        <w:t>principles</w:t>
      </w:r>
      <w:r w:rsidR="00F71C9B">
        <w:rPr>
          <w:rFonts w:ascii="Bookman Old Style" w:hAnsi="Bookman Old Style"/>
          <w:sz w:val="24"/>
          <w:szCs w:val="24"/>
        </w:rPr>
        <w:t xml:space="preserve"> or untouched areas</w:t>
      </w:r>
      <w:r w:rsidR="0075546D">
        <w:rPr>
          <w:rFonts w:ascii="Bookman Old Style" w:hAnsi="Bookman Old Style"/>
          <w:sz w:val="24"/>
          <w:szCs w:val="24"/>
        </w:rPr>
        <w:t xml:space="preserve"> in public liability law</w:t>
      </w:r>
      <w:r w:rsidR="00D075E4">
        <w:rPr>
          <w:rFonts w:ascii="Bookman Old Style" w:hAnsi="Bookman Old Style"/>
          <w:sz w:val="24"/>
          <w:szCs w:val="24"/>
        </w:rPr>
        <w:t xml:space="preserve">. </w:t>
      </w:r>
    </w:p>
    <w:p w:rsidR="005C7FD0" w:rsidRPr="005C7FD0" w:rsidRDefault="005C7FD0" w:rsidP="005C7FD0">
      <w:pPr>
        <w:spacing w:line="480" w:lineRule="auto"/>
        <w:jc w:val="both"/>
        <w:rPr>
          <w:rFonts w:ascii="Bookman Old Style" w:hAnsi="Bookman Old Style"/>
          <w:b/>
          <w:sz w:val="24"/>
          <w:szCs w:val="24"/>
        </w:rPr>
      </w:pPr>
      <w:r>
        <w:rPr>
          <w:rFonts w:ascii="Bookman Old Style" w:hAnsi="Bookman Old Style"/>
          <w:b/>
          <w:sz w:val="24"/>
          <w:szCs w:val="24"/>
        </w:rPr>
        <w:t xml:space="preserve">OCCUPATION </w:t>
      </w:r>
    </w:p>
    <w:p w:rsidR="00E423EE" w:rsidRPr="00C159C2" w:rsidRDefault="00602095" w:rsidP="00E423EE">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In most, but not all</w:t>
      </w:r>
      <w:r w:rsidR="002774F1">
        <w:rPr>
          <w:rStyle w:val="FootnoteReference"/>
          <w:rFonts w:ascii="Bookman Old Style" w:hAnsi="Bookman Old Style"/>
          <w:sz w:val="24"/>
          <w:szCs w:val="24"/>
        </w:rPr>
        <w:footnoteReference w:id="2"/>
      </w:r>
      <w:r>
        <w:rPr>
          <w:rFonts w:ascii="Bookman Old Style" w:hAnsi="Bookman Old Style"/>
          <w:sz w:val="24"/>
          <w:szCs w:val="24"/>
        </w:rPr>
        <w:t>, public liability claims</w:t>
      </w:r>
      <w:r w:rsidR="00A415C6">
        <w:rPr>
          <w:rFonts w:ascii="Bookman Old Style" w:hAnsi="Bookman Old Style"/>
          <w:sz w:val="24"/>
          <w:szCs w:val="24"/>
        </w:rPr>
        <w:t xml:space="preserve">, </w:t>
      </w:r>
      <w:r w:rsidR="007B6404">
        <w:rPr>
          <w:rFonts w:ascii="Bookman Old Style" w:hAnsi="Bookman Old Style"/>
          <w:sz w:val="24"/>
          <w:szCs w:val="24"/>
        </w:rPr>
        <w:t xml:space="preserve">a central feature of the action is </w:t>
      </w:r>
      <w:r w:rsidR="00A97C65">
        <w:rPr>
          <w:rFonts w:ascii="Bookman Old Style" w:hAnsi="Bookman Old Style"/>
          <w:sz w:val="24"/>
          <w:szCs w:val="24"/>
        </w:rPr>
        <w:t xml:space="preserve">whether the defendant was an occupier </w:t>
      </w:r>
      <w:r w:rsidR="00D30736">
        <w:rPr>
          <w:rFonts w:ascii="Bookman Old Style" w:hAnsi="Bookman Old Style"/>
          <w:sz w:val="24"/>
          <w:szCs w:val="24"/>
        </w:rPr>
        <w:t xml:space="preserve">of the area in which the alleged tort occurred </w:t>
      </w:r>
      <w:r w:rsidR="00A97C65">
        <w:rPr>
          <w:rFonts w:ascii="Bookman Old Style" w:hAnsi="Bookman Old Style"/>
          <w:sz w:val="24"/>
          <w:szCs w:val="24"/>
        </w:rPr>
        <w:t xml:space="preserve">and, as such, owed a duty of care to the plaintiff. </w:t>
      </w:r>
    </w:p>
    <w:p w:rsidR="00D0272F" w:rsidRPr="00D0272F" w:rsidRDefault="00D0272F" w:rsidP="00D0272F">
      <w:pPr>
        <w:spacing w:line="480" w:lineRule="auto"/>
        <w:jc w:val="both"/>
        <w:rPr>
          <w:rFonts w:ascii="Bookman Old Style" w:hAnsi="Bookman Old Style"/>
          <w:b/>
          <w:sz w:val="24"/>
          <w:szCs w:val="24"/>
        </w:rPr>
      </w:pPr>
      <w:r>
        <w:rPr>
          <w:rFonts w:ascii="Bookman Old Style" w:hAnsi="Bookman Old Style"/>
          <w:b/>
          <w:sz w:val="24"/>
          <w:szCs w:val="24"/>
        </w:rPr>
        <w:t xml:space="preserve">Duty of care as an occupier </w:t>
      </w:r>
    </w:p>
    <w:p w:rsidR="00D0272F" w:rsidRDefault="009B6D55" w:rsidP="00DB1E55">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 xml:space="preserve">Long before the introduction of Part IIA of the </w:t>
      </w:r>
      <w:r>
        <w:rPr>
          <w:rFonts w:ascii="Bookman Old Style" w:hAnsi="Bookman Old Style"/>
          <w:i/>
          <w:sz w:val="24"/>
          <w:szCs w:val="24"/>
        </w:rPr>
        <w:t>Wrongs Act</w:t>
      </w:r>
      <w:r w:rsidR="003958FC">
        <w:rPr>
          <w:rFonts w:ascii="Bookman Old Style" w:hAnsi="Bookman Old Style"/>
          <w:i/>
          <w:sz w:val="24"/>
          <w:szCs w:val="24"/>
        </w:rPr>
        <w:t xml:space="preserve"> 1958 (Vic)</w:t>
      </w:r>
      <w:r w:rsidR="00023B47">
        <w:rPr>
          <w:rFonts w:ascii="Bookman Old Style" w:hAnsi="Bookman Old Style"/>
          <w:i/>
          <w:sz w:val="24"/>
          <w:szCs w:val="24"/>
        </w:rPr>
        <w:t xml:space="preserve"> </w:t>
      </w:r>
      <w:r w:rsidR="00023B47">
        <w:rPr>
          <w:rFonts w:ascii="Bookman Old Style" w:hAnsi="Bookman Old Style"/>
          <w:sz w:val="24"/>
          <w:szCs w:val="24"/>
        </w:rPr>
        <w:t>“Occupiers’ Liability”</w:t>
      </w:r>
      <w:r w:rsidR="004F2E2F">
        <w:rPr>
          <w:rFonts w:ascii="Bookman Old Style" w:hAnsi="Bookman Old Style"/>
          <w:sz w:val="24"/>
          <w:szCs w:val="24"/>
        </w:rPr>
        <w:t xml:space="preserve"> in 1983</w:t>
      </w:r>
      <w:r w:rsidR="00C16455">
        <w:rPr>
          <w:rFonts w:ascii="Bookman Old Style" w:hAnsi="Bookman Old Style"/>
          <w:sz w:val="24"/>
          <w:szCs w:val="24"/>
        </w:rPr>
        <w:t xml:space="preserve">, </w:t>
      </w:r>
      <w:r w:rsidR="00AA655B">
        <w:rPr>
          <w:rFonts w:ascii="Bookman Old Style" w:hAnsi="Bookman Old Style"/>
          <w:sz w:val="24"/>
          <w:szCs w:val="24"/>
        </w:rPr>
        <w:t>the law recognised</w:t>
      </w:r>
      <w:r w:rsidR="007A2054">
        <w:rPr>
          <w:rFonts w:ascii="Bookman Old Style" w:hAnsi="Bookman Old Style"/>
          <w:sz w:val="24"/>
          <w:szCs w:val="24"/>
        </w:rPr>
        <w:t xml:space="preserve">, in </w:t>
      </w:r>
      <w:r w:rsidR="00764F5C">
        <w:rPr>
          <w:rFonts w:ascii="Bookman Old Style" w:hAnsi="Bookman Old Style"/>
          <w:sz w:val="24"/>
          <w:szCs w:val="24"/>
        </w:rPr>
        <w:t>many</w:t>
      </w:r>
      <w:r w:rsidR="00B721F6">
        <w:rPr>
          <w:rFonts w:ascii="Bookman Old Style" w:hAnsi="Bookman Old Style"/>
          <w:sz w:val="24"/>
          <w:szCs w:val="24"/>
        </w:rPr>
        <w:t xml:space="preserve"> cases</w:t>
      </w:r>
      <w:r w:rsidR="007A2054">
        <w:rPr>
          <w:rFonts w:ascii="Bookman Old Style" w:hAnsi="Bookman Old Style"/>
          <w:sz w:val="24"/>
          <w:szCs w:val="24"/>
        </w:rPr>
        <w:t>,</w:t>
      </w:r>
      <w:r w:rsidR="00AA655B">
        <w:rPr>
          <w:rFonts w:ascii="Bookman Old Style" w:hAnsi="Bookman Old Style"/>
          <w:sz w:val="24"/>
          <w:szCs w:val="24"/>
        </w:rPr>
        <w:t xml:space="preserve"> </w:t>
      </w:r>
      <w:r w:rsidR="00BC31F3">
        <w:rPr>
          <w:rFonts w:ascii="Bookman Old Style" w:hAnsi="Bookman Old Style"/>
          <w:sz w:val="24"/>
          <w:szCs w:val="24"/>
        </w:rPr>
        <w:t xml:space="preserve">that occupiers </w:t>
      </w:r>
      <w:r w:rsidR="004C14D0">
        <w:rPr>
          <w:rFonts w:ascii="Bookman Old Style" w:hAnsi="Bookman Old Style"/>
          <w:sz w:val="24"/>
          <w:szCs w:val="24"/>
        </w:rPr>
        <w:t>owed a duty of care to those on the premises</w:t>
      </w:r>
      <w:r w:rsidR="00BF4ACB">
        <w:rPr>
          <w:rFonts w:ascii="Bookman Old Style" w:hAnsi="Bookman Old Style"/>
          <w:sz w:val="24"/>
          <w:szCs w:val="24"/>
        </w:rPr>
        <w:t xml:space="preserve">. </w:t>
      </w:r>
    </w:p>
    <w:p w:rsidR="00BF4ACB" w:rsidRDefault="00CE107C" w:rsidP="00DB1E55">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lastRenderedPageBreak/>
        <w:t>T</w:t>
      </w:r>
      <w:r w:rsidR="00874095">
        <w:rPr>
          <w:rFonts w:ascii="Bookman Old Style" w:hAnsi="Bookman Old Style"/>
          <w:sz w:val="24"/>
          <w:szCs w:val="24"/>
        </w:rPr>
        <w:t xml:space="preserve">he duty of care </w:t>
      </w:r>
      <w:r>
        <w:rPr>
          <w:rFonts w:ascii="Bookman Old Style" w:hAnsi="Bookman Old Style"/>
          <w:sz w:val="24"/>
          <w:szCs w:val="24"/>
        </w:rPr>
        <w:t>used to</w:t>
      </w:r>
      <w:r w:rsidR="00874095">
        <w:rPr>
          <w:rFonts w:ascii="Bookman Old Style" w:hAnsi="Bookman Old Style"/>
          <w:sz w:val="24"/>
          <w:szCs w:val="24"/>
        </w:rPr>
        <w:t xml:space="preserve"> depend </w:t>
      </w:r>
      <w:r w:rsidR="00546B50">
        <w:rPr>
          <w:rFonts w:ascii="Bookman Old Style" w:hAnsi="Bookman Old Style"/>
          <w:sz w:val="24"/>
          <w:szCs w:val="24"/>
        </w:rPr>
        <w:t xml:space="preserve">on </w:t>
      </w:r>
      <w:r w:rsidR="00936967">
        <w:rPr>
          <w:rFonts w:ascii="Bookman Old Style" w:hAnsi="Bookman Old Style"/>
          <w:sz w:val="24"/>
          <w:szCs w:val="24"/>
        </w:rPr>
        <w:t xml:space="preserve">the category of entrant - </w:t>
      </w:r>
      <w:r w:rsidR="00546B50">
        <w:rPr>
          <w:rFonts w:ascii="Bookman Old Style" w:hAnsi="Bookman Old Style"/>
          <w:sz w:val="24"/>
          <w:szCs w:val="24"/>
        </w:rPr>
        <w:t xml:space="preserve">whether the person injured was an invitee, </w:t>
      </w:r>
      <w:r w:rsidR="000A4BD5">
        <w:rPr>
          <w:rFonts w:ascii="Bookman Old Style" w:hAnsi="Bookman Old Style"/>
          <w:sz w:val="24"/>
          <w:szCs w:val="24"/>
        </w:rPr>
        <w:t>licensee</w:t>
      </w:r>
      <w:r w:rsidR="00002AEE">
        <w:rPr>
          <w:rFonts w:ascii="Bookman Old Style" w:hAnsi="Bookman Old Style"/>
          <w:sz w:val="24"/>
          <w:szCs w:val="24"/>
        </w:rPr>
        <w:t>,</w:t>
      </w:r>
      <w:r w:rsidR="00AC1A66">
        <w:rPr>
          <w:rFonts w:ascii="Bookman Old Style" w:hAnsi="Bookman Old Style"/>
          <w:sz w:val="24"/>
          <w:szCs w:val="24"/>
        </w:rPr>
        <w:t xml:space="preserve"> </w:t>
      </w:r>
      <w:r w:rsidR="003F59C8">
        <w:rPr>
          <w:rFonts w:ascii="Bookman Old Style" w:hAnsi="Bookman Old Style"/>
          <w:sz w:val="24"/>
          <w:szCs w:val="24"/>
        </w:rPr>
        <w:t>trespasser</w:t>
      </w:r>
      <w:r w:rsidR="00AE6C32">
        <w:rPr>
          <w:rFonts w:ascii="Bookman Old Style" w:hAnsi="Bookman Old Style"/>
          <w:sz w:val="24"/>
          <w:szCs w:val="24"/>
        </w:rPr>
        <w:t xml:space="preserve"> </w:t>
      </w:r>
      <w:r w:rsidR="006E43EE">
        <w:rPr>
          <w:rFonts w:ascii="Bookman Old Style" w:hAnsi="Bookman Old Style"/>
          <w:i/>
          <w:sz w:val="24"/>
          <w:szCs w:val="24"/>
        </w:rPr>
        <w:t>et</w:t>
      </w:r>
      <w:r w:rsidR="00002AEE">
        <w:rPr>
          <w:rFonts w:ascii="Bookman Old Style" w:hAnsi="Bookman Old Style"/>
          <w:i/>
          <w:sz w:val="24"/>
          <w:szCs w:val="24"/>
        </w:rPr>
        <w:t>.</w:t>
      </w:r>
      <w:r w:rsidR="006E43EE">
        <w:rPr>
          <w:rFonts w:ascii="Bookman Old Style" w:hAnsi="Bookman Old Style"/>
          <w:i/>
          <w:sz w:val="24"/>
          <w:szCs w:val="24"/>
        </w:rPr>
        <w:t xml:space="preserve"> cetera</w:t>
      </w:r>
      <w:r w:rsidR="003F59C8">
        <w:rPr>
          <w:rFonts w:ascii="Bookman Old Style" w:hAnsi="Bookman Old Style"/>
          <w:sz w:val="24"/>
          <w:szCs w:val="24"/>
        </w:rPr>
        <w:t xml:space="preserve">. </w:t>
      </w:r>
    </w:p>
    <w:p w:rsidR="00F507FE" w:rsidRDefault="00572DAB" w:rsidP="00DB1E55">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 xml:space="preserve">In </w:t>
      </w:r>
      <w:r>
        <w:rPr>
          <w:rFonts w:ascii="Bookman Old Style" w:hAnsi="Bookman Old Style"/>
          <w:i/>
          <w:sz w:val="24"/>
          <w:szCs w:val="24"/>
        </w:rPr>
        <w:t>Australian Safeway Stores Pty Limited v Zaluzna</w:t>
      </w:r>
      <w:r>
        <w:rPr>
          <w:rStyle w:val="FootnoteReference"/>
          <w:rFonts w:ascii="Bookman Old Style" w:hAnsi="Bookman Old Style"/>
          <w:i/>
          <w:sz w:val="24"/>
          <w:szCs w:val="24"/>
        </w:rPr>
        <w:footnoteReference w:id="3"/>
      </w:r>
      <w:r>
        <w:rPr>
          <w:rFonts w:ascii="Bookman Old Style" w:hAnsi="Bookman Old Style"/>
          <w:sz w:val="24"/>
          <w:szCs w:val="24"/>
        </w:rPr>
        <w:t>,</w:t>
      </w:r>
      <w:r>
        <w:rPr>
          <w:rFonts w:ascii="Bookman Old Style" w:hAnsi="Bookman Old Style"/>
          <w:i/>
          <w:sz w:val="24"/>
          <w:szCs w:val="24"/>
        </w:rPr>
        <w:t xml:space="preserve"> </w:t>
      </w:r>
      <w:r>
        <w:rPr>
          <w:rFonts w:ascii="Bookman Old Style" w:hAnsi="Bookman Old Style"/>
          <w:sz w:val="24"/>
          <w:szCs w:val="24"/>
        </w:rPr>
        <w:t>t</w:t>
      </w:r>
      <w:r w:rsidR="00965C74">
        <w:rPr>
          <w:rFonts w:ascii="Bookman Old Style" w:hAnsi="Bookman Old Style"/>
          <w:sz w:val="24"/>
          <w:szCs w:val="24"/>
        </w:rPr>
        <w:t xml:space="preserve">he High Court of Australia put to rest </w:t>
      </w:r>
      <w:r>
        <w:rPr>
          <w:rFonts w:ascii="Bookman Old Style" w:hAnsi="Bookman Old Style"/>
          <w:sz w:val="24"/>
          <w:szCs w:val="24"/>
        </w:rPr>
        <w:t xml:space="preserve">the notion that the duty of care owed by occupiers depended on </w:t>
      </w:r>
      <w:r w:rsidR="00936967">
        <w:rPr>
          <w:rFonts w:ascii="Bookman Old Style" w:hAnsi="Bookman Old Style"/>
          <w:sz w:val="24"/>
          <w:szCs w:val="24"/>
        </w:rPr>
        <w:t>such categories</w:t>
      </w:r>
      <w:r>
        <w:rPr>
          <w:rFonts w:ascii="Bookman Old Style" w:hAnsi="Bookman Old Style"/>
          <w:sz w:val="24"/>
          <w:szCs w:val="24"/>
        </w:rPr>
        <w:t xml:space="preserve">. </w:t>
      </w:r>
      <w:r w:rsidR="00734CDC">
        <w:rPr>
          <w:rFonts w:ascii="Bookman Old Style" w:hAnsi="Bookman Old Style"/>
          <w:sz w:val="24"/>
          <w:szCs w:val="24"/>
        </w:rPr>
        <w:t xml:space="preserve"> </w:t>
      </w:r>
    </w:p>
    <w:p w:rsidR="00965C74" w:rsidRDefault="00C0125B" w:rsidP="00DB1E55">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Occupiers’</w:t>
      </w:r>
      <w:r w:rsidR="002D6B29">
        <w:rPr>
          <w:rFonts w:ascii="Bookman Old Style" w:hAnsi="Bookman Old Style"/>
          <w:sz w:val="24"/>
          <w:szCs w:val="24"/>
        </w:rPr>
        <w:t xml:space="preserve"> liability since then</w:t>
      </w:r>
      <w:r w:rsidR="0002537F">
        <w:rPr>
          <w:rFonts w:ascii="Bookman Old Style" w:hAnsi="Bookman Old Style"/>
          <w:sz w:val="24"/>
          <w:szCs w:val="24"/>
        </w:rPr>
        <w:t xml:space="preserve"> has depended on whether </w:t>
      </w:r>
      <w:r w:rsidR="00C95697">
        <w:rPr>
          <w:rFonts w:ascii="Bookman Old Style" w:hAnsi="Bookman Old Style"/>
          <w:sz w:val="24"/>
          <w:szCs w:val="24"/>
        </w:rPr>
        <w:t>it was reasonably foreseeable that an entrant may face a real risk of injur</w:t>
      </w:r>
      <w:r w:rsidR="00402144">
        <w:rPr>
          <w:rFonts w:ascii="Bookman Old Style" w:hAnsi="Bookman Old Style"/>
          <w:sz w:val="24"/>
          <w:szCs w:val="24"/>
        </w:rPr>
        <w:t>y</w:t>
      </w:r>
      <w:r w:rsidR="00F507FE">
        <w:rPr>
          <w:rFonts w:ascii="Bookman Old Style" w:hAnsi="Bookman Old Style"/>
          <w:sz w:val="24"/>
          <w:szCs w:val="24"/>
        </w:rPr>
        <w:t xml:space="preserve"> </w:t>
      </w:r>
      <w:r w:rsidR="00002AEE">
        <w:rPr>
          <w:rFonts w:ascii="Bookman Old Style" w:hAnsi="Bookman Old Style"/>
          <w:sz w:val="24"/>
          <w:szCs w:val="24"/>
        </w:rPr>
        <w:t>when on the premises</w:t>
      </w:r>
      <w:r w:rsidR="00402144">
        <w:rPr>
          <w:rFonts w:ascii="Bookman Old Style" w:hAnsi="Bookman Old Style"/>
          <w:sz w:val="24"/>
          <w:szCs w:val="24"/>
        </w:rPr>
        <w:t xml:space="preserve">.  </w:t>
      </w:r>
      <w:r w:rsidR="00E423EE">
        <w:rPr>
          <w:rFonts w:ascii="Bookman Old Style" w:hAnsi="Bookman Old Style"/>
          <w:sz w:val="24"/>
          <w:szCs w:val="24"/>
        </w:rPr>
        <w:t xml:space="preserve">That, in part, was informed by the relationship </w:t>
      </w:r>
      <w:r w:rsidR="00FA24FB">
        <w:rPr>
          <w:rFonts w:ascii="Bookman Old Style" w:hAnsi="Bookman Old Style"/>
          <w:sz w:val="24"/>
          <w:szCs w:val="24"/>
        </w:rPr>
        <w:t xml:space="preserve">or proximity </w:t>
      </w:r>
      <w:r w:rsidR="00E423EE">
        <w:rPr>
          <w:rFonts w:ascii="Bookman Old Style" w:hAnsi="Bookman Old Style"/>
          <w:sz w:val="24"/>
          <w:szCs w:val="24"/>
        </w:rPr>
        <w:t>between occupier and entrant</w:t>
      </w:r>
      <w:r w:rsidR="00AA2071">
        <w:rPr>
          <w:rFonts w:ascii="Bookman Old Style" w:hAnsi="Bookman Old Style"/>
          <w:sz w:val="24"/>
          <w:szCs w:val="24"/>
        </w:rPr>
        <w:t xml:space="preserve">. </w:t>
      </w:r>
      <w:r w:rsidR="002D6B29">
        <w:rPr>
          <w:rFonts w:ascii="Bookman Old Style" w:hAnsi="Bookman Old Style"/>
          <w:sz w:val="24"/>
          <w:szCs w:val="24"/>
        </w:rPr>
        <w:t xml:space="preserve"> Thus, it might not be foreseeable that injury would occur to a trespasser. </w:t>
      </w:r>
    </w:p>
    <w:p w:rsidR="00B87FC4" w:rsidRPr="00C159C2" w:rsidRDefault="006E43EE" w:rsidP="00DB1E55">
      <w:pPr>
        <w:pStyle w:val="ListParagraph"/>
        <w:numPr>
          <w:ilvl w:val="0"/>
          <w:numId w:val="1"/>
        </w:numPr>
        <w:spacing w:line="480" w:lineRule="auto"/>
        <w:ind w:left="567" w:hanging="567"/>
        <w:jc w:val="both"/>
        <w:rPr>
          <w:rFonts w:ascii="Bookman Old Style" w:hAnsi="Bookman Old Style"/>
          <w:sz w:val="24"/>
          <w:szCs w:val="24"/>
        </w:rPr>
      </w:pPr>
      <w:r w:rsidRPr="006E43EE">
        <w:rPr>
          <w:rFonts w:ascii="Bookman Old Style" w:hAnsi="Bookman Old Style"/>
          <w:i/>
          <w:sz w:val="24"/>
          <w:szCs w:val="24"/>
        </w:rPr>
        <w:t>Zaluzna</w:t>
      </w:r>
      <w:r w:rsidRPr="006E43EE">
        <w:rPr>
          <w:rFonts w:ascii="Bookman Old Style" w:hAnsi="Bookman Old Style"/>
          <w:sz w:val="24"/>
          <w:szCs w:val="24"/>
        </w:rPr>
        <w:t xml:space="preserve"> </w:t>
      </w:r>
      <w:r w:rsidR="00A3584F">
        <w:rPr>
          <w:rFonts w:ascii="Bookman Old Style" w:hAnsi="Bookman Old Style"/>
          <w:sz w:val="24"/>
          <w:szCs w:val="24"/>
        </w:rPr>
        <w:t>followed</w:t>
      </w:r>
      <w:r w:rsidR="00F377A7">
        <w:rPr>
          <w:rFonts w:ascii="Bookman Old Style" w:hAnsi="Bookman Old Style"/>
          <w:sz w:val="24"/>
          <w:szCs w:val="24"/>
        </w:rPr>
        <w:t xml:space="preserve"> </w:t>
      </w:r>
      <w:r w:rsidR="0040115C">
        <w:rPr>
          <w:rFonts w:ascii="Bookman Old Style" w:hAnsi="Bookman Old Style"/>
          <w:sz w:val="24"/>
          <w:szCs w:val="24"/>
        </w:rPr>
        <w:t>a favourite tort law case</w:t>
      </w:r>
      <w:r w:rsidR="00F377A7">
        <w:rPr>
          <w:rFonts w:ascii="Bookman Old Style" w:hAnsi="Bookman Old Style"/>
          <w:sz w:val="24"/>
          <w:szCs w:val="24"/>
        </w:rPr>
        <w:t xml:space="preserve">, </w:t>
      </w:r>
      <w:r w:rsidR="00B16823" w:rsidRPr="00B16823">
        <w:rPr>
          <w:rFonts w:ascii="Bookman Old Style" w:hAnsi="Bookman Old Style"/>
          <w:bCs/>
          <w:i/>
          <w:sz w:val="24"/>
          <w:szCs w:val="24"/>
          <w:lang w:val="en"/>
        </w:rPr>
        <w:t>Hackshaw v Shaw</w:t>
      </w:r>
      <w:r w:rsidR="004F2E2F">
        <w:rPr>
          <w:rStyle w:val="FootnoteReference"/>
          <w:rFonts w:ascii="Bookman Old Style" w:hAnsi="Bookman Old Style"/>
          <w:bCs/>
          <w:i/>
          <w:sz w:val="24"/>
          <w:szCs w:val="24"/>
          <w:lang w:val="en"/>
        </w:rPr>
        <w:footnoteReference w:id="4"/>
      </w:r>
      <w:r w:rsidR="00574019">
        <w:rPr>
          <w:rFonts w:ascii="Bookman Old Style" w:hAnsi="Bookman Old Style"/>
          <w:bCs/>
          <w:sz w:val="24"/>
          <w:szCs w:val="24"/>
          <w:lang w:val="en"/>
        </w:rPr>
        <w:t xml:space="preserve">, in which </w:t>
      </w:r>
      <w:r w:rsidR="00FC4F84">
        <w:rPr>
          <w:rFonts w:ascii="Bookman Old Style" w:hAnsi="Bookman Old Style"/>
          <w:bCs/>
          <w:sz w:val="24"/>
          <w:szCs w:val="24"/>
          <w:lang w:val="en"/>
        </w:rPr>
        <w:t xml:space="preserve">Deane J </w:t>
      </w:r>
      <w:r w:rsidR="00BC3D4E">
        <w:rPr>
          <w:rFonts w:ascii="Bookman Old Style" w:hAnsi="Bookman Old Style"/>
          <w:bCs/>
          <w:sz w:val="24"/>
          <w:szCs w:val="24"/>
          <w:lang w:val="en"/>
        </w:rPr>
        <w:t>said the categories of entrant were redundant</w:t>
      </w:r>
      <w:r w:rsidR="00940059">
        <w:rPr>
          <w:rFonts w:ascii="Bookman Old Style" w:hAnsi="Bookman Old Style"/>
          <w:bCs/>
          <w:sz w:val="24"/>
          <w:szCs w:val="24"/>
          <w:lang w:val="en"/>
        </w:rPr>
        <w:t xml:space="preserve">.  He </w:t>
      </w:r>
      <w:r w:rsidR="00B4238A">
        <w:rPr>
          <w:rFonts w:ascii="Bookman Old Style" w:hAnsi="Bookman Old Style"/>
          <w:bCs/>
          <w:sz w:val="24"/>
          <w:szCs w:val="24"/>
          <w:lang w:val="en"/>
        </w:rPr>
        <w:t xml:space="preserve">found </w:t>
      </w:r>
      <w:r w:rsidR="00EC41BF">
        <w:rPr>
          <w:rFonts w:ascii="Bookman Old Style" w:hAnsi="Bookman Old Style"/>
          <w:bCs/>
          <w:sz w:val="24"/>
          <w:szCs w:val="24"/>
          <w:lang w:val="en"/>
        </w:rPr>
        <w:t xml:space="preserve">that </w:t>
      </w:r>
      <w:r w:rsidR="00B4238A">
        <w:rPr>
          <w:rFonts w:ascii="Bookman Old Style" w:hAnsi="Bookman Old Style"/>
          <w:bCs/>
          <w:sz w:val="24"/>
          <w:szCs w:val="24"/>
          <w:lang w:val="en"/>
        </w:rPr>
        <w:t>the owner of a property owed a duty of care to a trespasser who was stealing his petrol from his farm</w:t>
      </w:r>
      <w:r w:rsidR="00357921">
        <w:rPr>
          <w:rFonts w:ascii="Bookman Old Style" w:hAnsi="Bookman Old Style"/>
          <w:bCs/>
          <w:sz w:val="24"/>
          <w:szCs w:val="24"/>
          <w:lang w:val="en"/>
        </w:rPr>
        <w:t>.</w:t>
      </w:r>
      <w:r w:rsidR="0054709F">
        <w:rPr>
          <w:rFonts w:ascii="Bookman Old Style" w:hAnsi="Bookman Old Style"/>
          <w:bCs/>
          <w:sz w:val="24"/>
          <w:szCs w:val="24"/>
          <w:lang w:val="en"/>
        </w:rPr>
        <w:t xml:space="preserve"> </w:t>
      </w:r>
      <w:r w:rsidR="00357921">
        <w:rPr>
          <w:rFonts w:ascii="Bookman Old Style" w:hAnsi="Bookman Old Style"/>
          <w:bCs/>
          <w:sz w:val="24"/>
          <w:szCs w:val="24"/>
          <w:lang w:val="en"/>
        </w:rPr>
        <w:t xml:space="preserve"> W</w:t>
      </w:r>
      <w:r w:rsidR="0054709F">
        <w:rPr>
          <w:rFonts w:ascii="Bookman Old Style" w:hAnsi="Bookman Old Style"/>
          <w:bCs/>
          <w:sz w:val="24"/>
          <w:szCs w:val="24"/>
          <w:lang w:val="en"/>
        </w:rPr>
        <w:t xml:space="preserve">hen the owner shot </w:t>
      </w:r>
      <w:r w:rsidR="00BF1F59">
        <w:rPr>
          <w:rFonts w:ascii="Bookman Old Style" w:hAnsi="Bookman Old Style"/>
          <w:bCs/>
          <w:sz w:val="24"/>
          <w:szCs w:val="24"/>
          <w:lang w:val="en"/>
        </w:rPr>
        <w:t>his gun</w:t>
      </w:r>
      <w:r w:rsidR="00357921">
        <w:rPr>
          <w:rFonts w:ascii="Bookman Old Style" w:hAnsi="Bookman Old Style"/>
          <w:bCs/>
          <w:sz w:val="24"/>
          <w:szCs w:val="24"/>
          <w:lang w:val="en"/>
        </w:rPr>
        <w:t xml:space="preserve"> at the direction of the </w:t>
      </w:r>
      <w:r w:rsidR="00FA6893">
        <w:rPr>
          <w:rFonts w:ascii="Bookman Old Style" w:hAnsi="Bookman Old Style"/>
          <w:bCs/>
          <w:sz w:val="24"/>
          <w:szCs w:val="24"/>
          <w:lang w:val="en"/>
        </w:rPr>
        <w:t>trespasser</w:t>
      </w:r>
      <w:r w:rsidR="0054709F">
        <w:rPr>
          <w:rFonts w:ascii="Bookman Old Style" w:hAnsi="Bookman Old Style"/>
          <w:bCs/>
          <w:sz w:val="24"/>
          <w:szCs w:val="24"/>
          <w:lang w:val="en"/>
        </w:rPr>
        <w:t>,</w:t>
      </w:r>
      <w:r w:rsidR="00FA6893">
        <w:rPr>
          <w:rFonts w:ascii="Bookman Old Style" w:hAnsi="Bookman Old Style"/>
          <w:bCs/>
          <w:sz w:val="24"/>
          <w:szCs w:val="24"/>
          <w:lang w:val="en"/>
        </w:rPr>
        <w:t xml:space="preserve"> ultimately shooting him,</w:t>
      </w:r>
      <w:r w:rsidR="0054709F">
        <w:rPr>
          <w:rFonts w:ascii="Bookman Old Style" w:hAnsi="Bookman Old Style"/>
          <w:bCs/>
          <w:sz w:val="24"/>
          <w:szCs w:val="24"/>
          <w:lang w:val="en"/>
        </w:rPr>
        <w:t xml:space="preserve"> </w:t>
      </w:r>
      <w:r w:rsidR="00BF1F59">
        <w:rPr>
          <w:rFonts w:ascii="Bookman Old Style" w:hAnsi="Bookman Old Style"/>
          <w:bCs/>
          <w:sz w:val="24"/>
          <w:szCs w:val="24"/>
          <w:lang w:val="en"/>
        </w:rPr>
        <w:t>he knew or ought to have known he was at risk of shooting the trespasser</w:t>
      </w:r>
      <w:r w:rsidR="00B16823">
        <w:rPr>
          <w:rFonts w:ascii="Bookman Old Style" w:hAnsi="Bookman Old Style"/>
          <w:bCs/>
          <w:sz w:val="24"/>
          <w:szCs w:val="24"/>
          <w:lang w:val="en"/>
        </w:rPr>
        <w:t xml:space="preserve">. </w:t>
      </w:r>
    </w:p>
    <w:p w:rsidR="00DB1E55" w:rsidRPr="00DB1E55" w:rsidRDefault="00DB1E55" w:rsidP="00DB1E55">
      <w:pPr>
        <w:spacing w:line="480" w:lineRule="auto"/>
        <w:jc w:val="both"/>
        <w:rPr>
          <w:rFonts w:ascii="Bookman Old Style" w:hAnsi="Bookman Old Style"/>
          <w:b/>
          <w:sz w:val="24"/>
          <w:szCs w:val="24"/>
        </w:rPr>
      </w:pPr>
      <w:r w:rsidRPr="00DB1E55">
        <w:rPr>
          <w:rFonts w:ascii="Bookman Old Style" w:hAnsi="Bookman Old Style"/>
          <w:b/>
          <w:sz w:val="24"/>
          <w:szCs w:val="24"/>
        </w:rPr>
        <w:t xml:space="preserve">Who is an occupier? </w:t>
      </w:r>
    </w:p>
    <w:p w:rsidR="003319D7" w:rsidRDefault="002E335F" w:rsidP="0014226B">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 xml:space="preserve">The definition of ‘occupier’ in the </w:t>
      </w:r>
      <w:r>
        <w:rPr>
          <w:rFonts w:ascii="Bookman Old Style" w:hAnsi="Bookman Old Style"/>
          <w:i/>
          <w:sz w:val="24"/>
          <w:szCs w:val="24"/>
        </w:rPr>
        <w:t>Wrongs Act</w:t>
      </w:r>
      <w:r>
        <w:rPr>
          <w:rFonts w:ascii="Bookman Old Style" w:hAnsi="Bookman Old Style"/>
          <w:sz w:val="24"/>
          <w:szCs w:val="24"/>
        </w:rPr>
        <w:t xml:space="preserve">, contained in section 14A, </w:t>
      </w:r>
      <w:r w:rsidR="00AC3DB5">
        <w:rPr>
          <w:rFonts w:ascii="Bookman Old Style" w:hAnsi="Bookman Old Style"/>
          <w:sz w:val="24"/>
          <w:szCs w:val="24"/>
        </w:rPr>
        <w:t xml:space="preserve">takes us </w:t>
      </w:r>
      <w:r w:rsidR="00D11C3D">
        <w:rPr>
          <w:rFonts w:ascii="Bookman Old Style" w:hAnsi="Bookman Old Style"/>
          <w:sz w:val="24"/>
          <w:szCs w:val="24"/>
        </w:rPr>
        <w:t>nowhere</w:t>
      </w:r>
      <w:r w:rsidR="00F961B3">
        <w:rPr>
          <w:rFonts w:ascii="Bookman Old Style" w:hAnsi="Bookman Old Style"/>
          <w:sz w:val="24"/>
          <w:szCs w:val="24"/>
        </w:rPr>
        <w:t xml:space="preserve">, </w:t>
      </w:r>
      <w:r w:rsidR="0040115C">
        <w:rPr>
          <w:rFonts w:ascii="Bookman Old Style" w:hAnsi="Bookman Old Style"/>
          <w:sz w:val="24"/>
          <w:szCs w:val="24"/>
        </w:rPr>
        <w:t>apart from elucidating</w:t>
      </w:r>
      <w:r w:rsidR="00F961B3">
        <w:rPr>
          <w:rFonts w:ascii="Bookman Old Style" w:hAnsi="Bookman Old Style"/>
          <w:sz w:val="24"/>
          <w:szCs w:val="24"/>
        </w:rPr>
        <w:t xml:space="preserve"> when a landlord may be an occupier</w:t>
      </w:r>
      <w:r w:rsidR="007C4E61">
        <w:rPr>
          <w:rFonts w:ascii="Bookman Old Style" w:hAnsi="Bookman Old Style"/>
          <w:sz w:val="24"/>
          <w:szCs w:val="24"/>
        </w:rPr>
        <w:t xml:space="preserve"> of premises</w:t>
      </w:r>
      <w:r w:rsidR="00AC3DB5">
        <w:rPr>
          <w:rFonts w:ascii="Bookman Old Style" w:hAnsi="Bookman Old Style"/>
          <w:sz w:val="24"/>
          <w:szCs w:val="24"/>
        </w:rPr>
        <w:t xml:space="preserve">. </w:t>
      </w:r>
      <w:r w:rsidR="005625BE">
        <w:rPr>
          <w:rFonts w:ascii="Bookman Old Style" w:hAnsi="Bookman Old Style"/>
          <w:sz w:val="24"/>
          <w:szCs w:val="24"/>
        </w:rPr>
        <w:t xml:space="preserve"> </w:t>
      </w:r>
    </w:p>
    <w:p w:rsidR="00FF4B02" w:rsidRDefault="00E93D0D" w:rsidP="0014226B">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 xml:space="preserve">The House of Lords considered this question in detail in </w:t>
      </w:r>
      <w:r>
        <w:rPr>
          <w:rFonts w:ascii="Bookman Old Style" w:hAnsi="Bookman Old Style"/>
          <w:i/>
          <w:sz w:val="24"/>
          <w:szCs w:val="24"/>
        </w:rPr>
        <w:t xml:space="preserve">Wheat v E </w:t>
      </w:r>
      <w:proofErr w:type="spellStart"/>
      <w:r>
        <w:rPr>
          <w:rFonts w:ascii="Bookman Old Style" w:hAnsi="Bookman Old Style"/>
          <w:i/>
          <w:sz w:val="24"/>
          <w:szCs w:val="24"/>
        </w:rPr>
        <w:t>Lacon</w:t>
      </w:r>
      <w:proofErr w:type="spellEnd"/>
      <w:r>
        <w:rPr>
          <w:rFonts w:ascii="Bookman Old Style" w:hAnsi="Bookman Old Style"/>
          <w:i/>
          <w:sz w:val="24"/>
          <w:szCs w:val="24"/>
        </w:rPr>
        <w:t xml:space="preserve"> &amp; Co Ltd</w:t>
      </w:r>
      <w:r w:rsidR="00097399">
        <w:rPr>
          <w:rStyle w:val="FootnoteReference"/>
          <w:rFonts w:ascii="Bookman Old Style" w:hAnsi="Bookman Old Style"/>
          <w:i/>
          <w:sz w:val="24"/>
          <w:szCs w:val="24"/>
        </w:rPr>
        <w:footnoteReference w:id="5"/>
      </w:r>
      <w:r w:rsidR="00097399">
        <w:rPr>
          <w:rFonts w:ascii="Bookman Old Style" w:hAnsi="Bookman Old Style"/>
          <w:sz w:val="24"/>
          <w:szCs w:val="24"/>
        </w:rPr>
        <w:t xml:space="preserve">. </w:t>
      </w:r>
      <w:r w:rsidR="005F59CF">
        <w:rPr>
          <w:rFonts w:ascii="Bookman Old Style" w:hAnsi="Bookman Old Style"/>
          <w:sz w:val="24"/>
          <w:szCs w:val="24"/>
        </w:rPr>
        <w:t xml:space="preserve"> </w:t>
      </w:r>
      <w:r w:rsidR="0040115C">
        <w:rPr>
          <w:rFonts w:ascii="Bookman Old Style" w:hAnsi="Bookman Old Style"/>
          <w:sz w:val="24"/>
          <w:szCs w:val="24"/>
        </w:rPr>
        <w:t xml:space="preserve">There, owners of a public </w:t>
      </w:r>
      <w:r w:rsidR="00B50216">
        <w:rPr>
          <w:rFonts w:ascii="Bookman Old Style" w:hAnsi="Bookman Old Style"/>
          <w:sz w:val="24"/>
          <w:szCs w:val="24"/>
        </w:rPr>
        <w:t>house employed a manage</w:t>
      </w:r>
      <w:r w:rsidR="00761123">
        <w:rPr>
          <w:rFonts w:ascii="Bookman Old Style" w:hAnsi="Bookman Old Style"/>
          <w:sz w:val="24"/>
          <w:szCs w:val="24"/>
        </w:rPr>
        <w:t>r</w:t>
      </w:r>
      <w:r w:rsidR="00B50216">
        <w:rPr>
          <w:rFonts w:ascii="Bookman Old Style" w:hAnsi="Bookman Old Style"/>
          <w:sz w:val="24"/>
          <w:szCs w:val="24"/>
        </w:rPr>
        <w:t xml:space="preserve"> </w:t>
      </w:r>
      <w:r w:rsidR="0040115C">
        <w:rPr>
          <w:rFonts w:ascii="Bookman Old Style" w:hAnsi="Bookman Old Style"/>
          <w:sz w:val="24"/>
          <w:szCs w:val="24"/>
        </w:rPr>
        <w:t xml:space="preserve">to take </w:t>
      </w:r>
      <w:r w:rsidR="0040115C">
        <w:rPr>
          <w:rFonts w:ascii="Bookman Old Style" w:hAnsi="Bookman Old Style"/>
          <w:sz w:val="24"/>
          <w:szCs w:val="24"/>
        </w:rPr>
        <w:lastRenderedPageBreak/>
        <w:t xml:space="preserve">responsibility for the public </w:t>
      </w:r>
      <w:r w:rsidR="00761123">
        <w:rPr>
          <w:rFonts w:ascii="Bookman Old Style" w:hAnsi="Bookman Old Style"/>
          <w:sz w:val="24"/>
          <w:szCs w:val="24"/>
        </w:rPr>
        <w:t>house</w:t>
      </w:r>
      <w:r w:rsidR="00B50216">
        <w:rPr>
          <w:rFonts w:ascii="Bookman Old Style" w:hAnsi="Bookman Old Style"/>
          <w:sz w:val="24"/>
          <w:szCs w:val="24"/>
        </w:rPr>
        <w:t xml:space="preserve">. </w:t>
      </w:r>
      <w:r w:rsidR="004A7988">
        <w:rPr>
          <w:rFonts w:ascii="Bookman Old Style" w:hAnsi="Bookman Old Style"/>
          <w:sz w:val="24"/>
          <w:szCs w:val="24"/>
        </w:rPr>
        <w:t xml:space="preserve"> </w:t>
      </w:r>
      <w:r w:rsidR="00674A62">
        <w:rPr>
          <w:rFonts w:ascii="Bookman Old Style" w:hAnsi="Bookman Old Style"/>
          <w:sz w:val="24"/>
          <w:szCs w:val="24"/>
        </w:rPr>
        <w:t>The own</w:t>
      </w:r>
      <w:r w:rsidR="00A3584F">
        <w:rPr>
          <w:rFonts w:ascii="Bookman Old Style" w:hAnsi="Bookman Old Style"/>
          <w:sz w:val="24"/>
          <w:szCs w:val="24"/>
        </w:rPr>
        <w:t>er</w:t>
      </w:r>
      <w:r w:rsidR="00674A62">
        <w:rPr>
          <w:rFonts w:ascii="Bookman Old Style" w:hAnsi="Bookman Old Style"/>
          <w:sz w:val="24"/>
          <w:szCs w:val="24"/>
        </w:rPr>
        <w:t>s continued to live at the premi</w:t>
      </w:r>
      <w:r w:rsidR="00DE28E9">
        <w:rPr>
          <w:rFonts w:ascii="Bookman Old Style" w:hAnsi="Bookman Old Style"/>
          <w:sz w:val="24"/>
          <w:szCs w:val="24"/>
        </w:rPr>
        <w:t>s</w:t>
      </w:r>
      <w:r w:rsidR="00674A62">
        <w:rPr>
          <w:rFonts w:ascii="Bookman Old Style" w:hAnsi="Bookman Old Style"/>
          <w:sz w:val="24"/>
          <w:szCs w:val="24"/>
        </w:rPr>
        <w:t xml:space="preserve">es.  </w:t>
      </w:r>
      <w:r w:rsidR="004A7988">
        <w:rPr>
          <w:rFonts w:ascii="Bookman Old Style" w:hAnsi="Bookman Old Style"/>
          <w:sz w:val="24"/>
          <w:szCs w:val="24"/>
        </w:rPr>
        <w:t xml:space="preserve">A guest of the premises fell down an unlit staircase. </w:t>
      </w:r>
      <w:r w:rsidR="003202A3">
        <w:rPr>
          <w:rFonts w:ascii="Bookman Old Style" w:hAnsi="Bookman Old Style"/>
          <w:sz w:val="24"/>
          <w:szCs w:val="24"/>
        </w:rPr>
        <w:t xml:space="preserve"> </w:t>
      </w:r>
      <w:r w:rsidR="00F90F98">
        <w:rPr>
          <w:rFonts w:ascii="Bookman Old Style" w:hAnsi="Bookman Old Style"/>
          <w:sz w:val="24"/>
          <w:szCs w:val="24"/>
        </w:rPr>
        <w:t xml:space="preserve">The owners denied owing a duty of care because they employed </w:t>
      </w:r>
      <w:r w:rsidR="00A3584F">
        <w:rPr>
          <w:rFonts w:ascii="Bookman Old Style" w:hAnsi="Bookman Old Style"/>
          <w:sz w:val="24"/>
          <w:szCs w:val="24"/>
        </w:rPr>
        <w:t>the manager</w:t>
      </w:r>
      <w:r w:rsidR="00F90F98">
        <w:rPr>
          <w:rFonts w:ascii="Bookman Old Style" w:hAnsi="Bookman Old Style"/>
          <w:sz w:val="24"/>
          <w:szCs w:val="24"/>
        </w:rPr>
        <w:t xml:space="preserve">.  </w:t>
      </w:r>
    </w:p>
    <w:p w:rsidR="002E6411" w:rsidRDefault="00F90F98" w:rsidP="0014226B">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 xml:space="preserve">The House of Lords </w:t>
      </w:r>
      <w:r w:rsidR="00092B63">
        <w:rPr>
          <w:rFonts w:ascii="Bookman Old Style" w:hAnsi="Bookman Old Style"/>
          <w:sz w:val="24"/>
          <w:szCs w:val="24"/>
        </w:rPr>
        <w:t>found that the owners were indeed</w:t>
      </w:r>
      <w:r w:rsidR="00FF4B02">
        <w:rPr>
          <w:rFonts w:ascii="Bookman Old Style" w:hAnsi="Bookman Old Style"/>
          <w:sz w:val="24"/>
          <w:szCs w:val="24"/>
        </w:rPr>
        <w:t xml:space="preserve"> occupiers</w:t>
      </w:r>
      <w:r w:rsidR="00C159C2">
        <w:rPr>
          <w:rFonts w:ascii="Bookman Old Style" w:hAnsi="Bookman Old Style"/>
          <w:sz w:val="24"/>
          <w:szCs w:val="24"/>
        </w:rPr>
        <w:t xml:space="preserve"> because of their degree of control over their own premises</w:t>
      </w:r>
      <w:r w:rsidR="00FF4B02">
        <w:rPr>
          <w:rFonts w:ascii="Bookman Old Style" w:hAnsi="Bookman Old Style"/>
          <w:sz w:val="24"/>
          <w:szCs w:val="24"/>
        </w:rPr>
        <w:t xml:space="preserve">. </w:t>
      </w:r>
      <w:r w:rsidR="00AD22D6">
        <w:rPr>
          <w:rFonts w:ascii="Bookman Old Style" w:hAnsi="Bookman Old Style"/>
          <w:sz w:val="24"/>
          <w:szCs w:val="24"/>
        </w:rPr>
        <w:t xml:space="preserve"> </w:t>
      </w:r>
    </w:p>
    <w:p w:rsidR="00D16713" w:rsidRDefault="00AD22D6" w:rsidP="0014226B">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In their speeches to the House, Lords Dennin</w:t>
      </w:r>
      <w:r w:rsidR="003A41BE">
        <w:rPr>
          <w:rFonts w:ascii="Bookman Old Style" w:hAnsi="Bookman Old Style"/>
          <w:sz w:val="24"/>
          <w:szCs w:val="24"/>
        </w:rPr>
        <w:t xml:space="preserve">g, </w:t>
      </w:r>
      <w:r>
        <w:rPr>
          <w:rFonts w:ascii="Bookman Old Style" w:hAnsi="Bookman Old Style"/>
          <w:sz w:val="24"/>
          <w:szCs w:val="24"/>
        </w:rPr>
        <w:t>Mo</w:t>
      </w:r>
      <w:r w:rsidR="003A41BE">
        <w:rPr>
          <w:rFonts w:ascii="Bookman Old Style" w:hAnsi="Bookman Old Style"/>
          <w:sz w:val="24"/>
          <w:szCs w:val="24"/>
        </w:rPr>
        <w:t>rr</w:t>
      </w:r>
      <w:r>
        <w:rPr>
          <w:rFonts w:ascii="Bookman Old Style" w:hAnsi="Bookman Old Style"/>
          <w:sz w:val="24"/>
          <w:szCs w:val="24"/>
        </w:rPr>
        <w:t xml:space="preserve">is, </w:t>
      </w:r>
      <w:proofErr w:type="gramStart"/>
      <w:r>
        <w:rPr>
          <w:rFonts w:ascii="Bookman Old Style" w:hAnsi="Bookman Old Style"/>
          <w:sz w:val="24"/>
          <w:szCs w:val="24"/>
        </w:rPr>
        <w:t>Pearson</w:t>
      </w:r>
      <w:proofErr w:type="gramEnd"/>
      <w:r>
        <w:rPr>
          <w:rFonts w:ascii="Bookman Old Style" w:hAnsi="Bookman Old Style"/>
          <w:sz w:val="24"/>
          <w:szCs w:val="24"/>
        </w:rPr>
        <w:t xml:space="preserve"> and Pearce </w:t>
      </w:r>
      <w:r w:rsidR="003A41BE">
        <w:rPr>
          <w:rFonts w:ascii="Bookman Old Style" w:hAnsi="Bookman Old Style"/>
          <w:sz w:val="24"/>
          <w:szCs w:val="24"/>
        </w:rPr>
        <w:t>all held that more than one party may be an occupier of the same premises, each owing a duty of care</w:t>
      </w:r>
      <w:r w:rsidR="00955381">
        <w:rPr>
          <w:rFonts w:ascii="Bookman Old Style" w:hAnsi="Bookman Old Style"/>
          <w:sz w:val="24"/>
          <w:szCs w:val="24"/>
        </w:rPr>
        <w:t xml:space="preserve">. </w:t>
      </w:r>
    </w:p>
    <w:p w:rsidR="00C6026D" w:rsidRDefault="00C6026D" w:rsidP="0014226B">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In his powerful speech, Lord Denning said:</w:t>
      </w:r>
    </w:p>
    <w:p w:rsidR="000A4BD5" w:rsidRDefault="000A4BD5" w:rsidP="00B3618E">
      <w:pPr>
        <w:pStyle w:val="ListParagraph"/>
        <w:spacing w:line="240" w:lineRule="auto"/>
        <w:ind w:right="522"/>
        <w:jc w:val="both"/>
        <w:rPr>
          <w:rFonts w:ascii="Bookman Old Style" w:hAnsi="Bookman Old Style"/>
          <w:sz w:val="24"/>
          <w:szCs w:val="24"/>
        </w:rPr>
      </w:pPr>
      <w:r w:rsidRPr="00D07A28">
        <w:rPr>
          <w:rFonts w:ascii="Bookman Old Style" w:hAnsi="Bookman Old Style"/>
          <w:sz w:val="20"/>
          <w:szCs w:val="20"/>
        </w:rPr>
        <w:t>“In the Occupiers’ Liability Act, 1957, the word ‘occupier’</w:t>
      </w:r>
      <w:r w:rsidR="00DE28E9">
        <w:rPr>
          <w:rFonts w:ascii="Bookman Old Style" w:hAnsi="Bookman Old Style"/>
          <w:sz w:val="20"/>
          <w:szCs w:val="20"/>
        </w:rPr>
        <w:t xml:space="preserve"> is used in the same sense as is</w:t>
      </w:r>
      <w:r w:rsidRPr="00D07A28">
        <w:rPr>
          <w:rFonts w:ascii="Bookman Old Style" w:hAnsi="Bookman Old Style"/>
          <w:sz w:val="20"/>
          <w:szCs w:val="20"/>
        </w:rPr>
        <w:t xml:space="preserve"> used in the common law cases on occupiers’ liability for dangerous premises.  It was simply a convenient word to denote a person who had a sufficient degree of control over premises to put him</w:t>
      </w:r>
      <w:r w:rsidR="00302A7E">
        <w:rPr>
          <w:rFonts w:ascii="Bookman Old Style" w:hAnsi="Bookman Old Style"/>
          <w:sz w:val="20"/>
          <w:szCs w:val="20"/>
        </w:rPr>
        <w:t xml:space="preserve"> [or her or it]</w:t>
      </w:r>
      <w:r w:rsidRPr="00D07A28">
        <w:rPr>
          <w:rFonts w:ascii="Bookman Old Style" w:hAnsi="Bookman Old Style"/>
          <w:sz w:val="20"/>
          <w:szCs w:val="20"/>
        </w:rPr>
        <w:t xml:space="preserve"> under a duty of care towards those who came lawfully on to the premises.</w:t>
      </w:r>
      <w:r w:rsidR="00D07A28">
        <w:rPr>
          <w:rFonts w:ascii="Bookman Old Style" w:hAnsi="Bookman Old Style"/>
          <w:sz w:val="20"/>
          <w:szCs w:val="20"/>
        </w:rPr>
        <w:t>”</w:t>
      </w:r>
      <w:r w:rsidRPr="00D07A28">
        <w:rPr>
          <w:rFonts w:ascii="Bookman Old Style" w:hAnsi="Bookman Old Style"/>
          <w:sz w:val="20"/>
          <w:szCs w:val="20"/>
        </w:rPr>
        <w:t xml:space="preserve"> </w:t>
      </w:r>
      <w:r w:rsidRPr="00D07A28">
        <w:rPr>
          <w:rFonts w:ascii="Bookman Old Style" w:hAnsi="Bookman Old Style"/>
          <w:sz w:val="24"/>
          <w:szCs w:val="24"/>
        </w:rPr>
        <w:t xml:space="preserve"> </w:t>
      </w:r>
    </w:p>
    <w:p w:rsidR="00302A7E" w:rsidRPr="00D07A28" w:rsidRDefault="00302A7E" w:rsidP="00B3618E">
      <w:pPr>
        <w:pStyle w:val="ListParagraph"/>
        <w:spacing w:line="240" w:lineRule="auto"/>
        <w:ind w:right="522"/>
        <w:jc w:val="both"/>
        <w:rPr>
          <w:rFonts w:ascii="Bookman Old Style" w:hAnsi="Bookman Old Style"/>
          <w:sz w:val="24"/>
          <w:szCs w:val="24"/>
        </w:rPr>
      </w:pPr>
    </w:p>
    <w:p w:rsidR="000A4BD5" w:rsidRDefault="00D93A65" w:rsidP="0014226B">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The Law Lord continued</w:t>
      </w:r>
      <w:r w:rsidR="000A4BD5">
        <w:rPr>
          <w:rFonts w:ascii="Bookman Old Style" w:hAnsi="Bookman Old Style"/>
          <w:sz w:val="24"/>
          <w:szCs w:val="24"/>
        </w:rPr>
        <w:t>:</w:t>
      </w:r>
    </w:p>
    <w:p w:rsidR="00C261EE" w:rsidRDefault="00D07A28" w:rsidP="00B3618E">
      <w:pPr>
        <w:pStyle w:val="ListParagraph"/>
        <w:spacing w:line="240" w:lineRule="auto"/>
        <w:ind w:right="522"/>
        <w:jc w:val="both"/>
        <w:rPr>
          <w:rFonts w:ascii="Bookman Old Style" w:hAnsi="Bookman Old Style"/>
          <w:sz w:val="20"/>
          <w:szCs w:val="20"/>
        </w:rPr>
      </w:pPr>
      <w:r w:rsidRPr="00D07A28">
        <w:rPr>
          <w:rFonts w:ascii="Bookman Old Style" w:hAnsi="Bookman Old Style"/>
          <w:sz w:val="20"/>
          <w:szCs w:val="20"/>
        </w:rPr>
        <w:t>“In order to be an ‘occupier’ it is not necessary for a person to have entire control over the premises.  He need not have exclusive occupation.  Suffice it that he has some degree of control.  He may share the control with others.  And whatever happens, each is under a duty of care towards persons coming lawfully on to the premises, dependent on his level of control.  If each fails in his duty, each is liable to a visitor who is injured in consequence of his failure, but each may have a claim to contribution from the other…”</w:t>
      </w:r>
    </w:p>
    <w:p w:rsidR="00302A7E" w:rsidRPr="006568D9" w:rsidRDefault="00302A7E" w:rsidP="00B3618E">
      <w:pPr>
        <w:pStyle w:val="ListParagraph"/>
        <w:spacing w:line="240" w:lineRule="auto"/>
        <w:ind w:right="522"/>
        <w:jc w:val="both"/>
        <w:rPr>
          <w:rFonts w:ascii="Bookman Old Style" w:hAnsi="Bookman Old Style"/>
          <w:sz w:val="20"/>
          <w:szCs w:val="20"/>
        </w:rPr>
      </w:pPr>
    </w:p>
    <w:p w:rsidR="000A4FBA" w:rsidRPr="000A4FBA" w:rsidRDefault="004C09D1" w:rsidP="000A4FBA">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 xml:space="preserve">There is no reason to doubt the correctness of these passages in the Australian context, in my view.  </w:t>
      </w:r>
      <w:r w:rsidR="00F8649A" w:rsidRPr="007334EB">
        <w:rPr>
          <w:rFonts w:ascii="Bookman Old Style" w:hAnsi="Bookman Old Style"/>
          <w:sz w:val="24"/>
          <w:szCs w:val="24"/>
        </w:rPr>
        <w:t xml:space="preserve">Indeed, </w:t>
      </w:r>
      <w:r w:rsidR="00A3584F">
        <w:rPr>
          <w:rFonts w:ascii="Bookman Old Style" w:hAnsi="Bookman Old Style"/>
          <w:sz w:val="24"/>
          <w:szCs w:val="24"/>
        </w:rPr>
        <w:t>their correctness</w:t>
      </w:r>
      <w:r w:rsidR="007334EB">
        <w:rPr>
          <w:rFonts w:ascii="Bookman Old Style" w:hAnsi="Bookman Old Style"/>
          <w:sz w:val="24"/>
          <w:szCs w:val="24"/>
        </w:rPr>
        <w:t xml:space="preserve"> is strengthened by section </w:t>
      </w:r>
      <w:proofErr w:type="spellStart"/>
      <w:r w:rsidR="007334EB">
        <w:rPr>
          <w:rFonts w:ascii="Bookman Old Style" w:hAnsi="Bookman Old Style"/>
          <w:sz w:val="24"/>
          <w:szCs w:val="24"/>
        </w:rPr>
        <w:t>14A</w:t>
      </w:r>
      <w:proofErr w:type="spellEnd"/>
      <w:r w:rsidR="002E6411">
        <w:rPr>
          <w:rFonts w:ascii="Bookman Old Style" w:hAnsi="Bookman Old Style"/>
          <w:sz w:val="24"/>
          <w:szCs w:val="24"/>
        </w:rPr>
        <w:t>,</w:t>
      </w:r>
      <w:r w:rsidR="007334EB">
        <w:rPr>
          <w:rFonts w:ascii="Bookman Old Style" w:hAnsi="Bookman Old Style"/>
          <w:sz w:val="24"/>
          <w:szCs w:val="24"/>
        </w:rPr>
        <w:t xml:space="preserve"> which de</w:t>
      </w:r>
      <w:r w:rsidR="00DE28E9">
        <w:rPr>
          <w:rFonts w:ascii="Bookman Old Style" w:hAnsi="Bookman Old Style"/>
          <w:sz w:val="24"/>
          <w:szCs w:val="24"/>
        </w:rPr>
        <w:t>fines</w:t>
      </w:r>
      <w:r w:rsidR="007334EB">
        <w:rPr>
          <w:rFonts w:ascii="Bookman Old Style" w:hAnsi="Bookman Old Style"/>
          <w:sz w:val="24"/>
          <w:szCs w:val="24"/>
        </w:rPr>
        <w:t xml:space="preserve"> when a landlord may be an occupier, namely when (a) under an obligation to maintain or repair the premises or (b) when it could have exercised a right of entry to maintain or repair the premises.  In </w:t>
      </w:r>
      <w:r w:rsidR="00F8198F">
        <w:rPr>
          <w:rFonts w:ascii="Bookman Old Style" w:hAnsi="Bookman Old Style"/>
          <w:sz w:val="24"/>
          <w:szCs w:val="24"/>
        </w:rPr>
        <w:t>addition</w:t>
      </w:r>
      <w:r w:rsidR="007334EB">
        <w:rPr>
          <w:rFonts w:ascii="Bookman Old Style" w:hAnsi="Bookman Old Style"/>
          <w:sz w:val="24"/>
          <w:szCs w:val="24"/>
        </w:rPr>
        <w:t>, the</w:t>
      </w:r>
      <w:r w:rsidR="00B87FC4" w:rsidRPr="007334EB">
        <w:rPr>
          <w:rFonts w:ascii="Bookman Old Style" w:hAnsi="Bookman Old Style"/>
          <w:sz w:val="24"/>
          <w:szCs w:val="24"/>
        </w:rPr>
        <w:t xml:space="preserve"> High Court of Australia considered the relevance of </w:t>
      </w:r>
      <w:r w:rsidR="004F563D">
        <w:rPr>
          <w:rFonts w:ascii="Bookman Old Style" w:hAnsi="Bookman Old Style"/>
          <w:sz w:val="24"/>
          <w:szCs w:val="24"/>
        </w:rPr>
        <w:t>‘</w:t>
      </w:r>
      <w:r w:rsidR="00B87FC4" w:rsidRPr="007334EB">
        <w:rPr>
          <w:rFonts w:ascii="Bookman Old Style" w:hAnsi="Bookman Old Style"/>
          <w:sz w:val="24"/>
          <w:szCs w:val="24"/>
        </w:rPr>
        <w:t>control</w:t>
      </w:r>
      <w:r w:rsidR="004F563D">
        <w:rPr>
          <w:rFonts w:ascii="Bookman Old Style" w:hAnsi="Bookman Old Style"/>
          <w:sz w:val="24"/>
          <w:szCs w:val="24"/>
        </w:rPr>
        <w:t>’</w:t>
      </w:r>
      <w:r w:rsidR="00B87FC4" w:rsidRPr="007334EB">
        <w:rPr>
          <w:rFonts w:ascii="Bookman Old Style" w:hAnsi="Bookman Old Style"/>
          <w:sz w:val="24"/>
          <w:szCs w:val="24"/>
        </w:rPr>
        <w:t xml:space="preserve"> in </w:t>
      </w:r>
      <w:r w:rsidR="00B87FC4" w:rsidRPr="007334EB">
        <w:rPr>
          <w:rFonts w:ascii="Bookman Old Style" w:hAnsi="Bookman Old Style"/>
          <w:i/>
          <w:sz w:val="24"/>
          <w:szCs w:val="24"/>
        </w:rPr>
        <w:t>Northern Sandblasting Pty Limited v Harris</w:t>
      </w:r>
      <w:r w:rsidR="008771EF">
        <w:rPr>
          <w:rStyle w:val="FootnoteReference"/>
          <w:rFonts w:ascii="Bookman Old Style" w:hAnsi="Bookman Old Style"/>
          <w:i/>
          <w:sz w:val="24"/>
          <w:szCs w:val="24"/>
        </w:rPr>
        <w:footnoteReference w:id="6"/>
      </w:r>
      <w:r w:rsidR="00A30341" w:rsidRPr="007334EB">
        <w:rPr>
          <w:rFonts w:ascii="Bookman Old Style" w:hAnsi="Bookman Old Style"/>
          <w:sz w:val="24"/>
          <w:szCs w:val="24"/>
        </w:rPr>
        <w:t xml:space="preserve">. </w:t>
      </w:r>
      <w:r w:rsidR="00506259" w:rsidRPr="007334EB">
        <w:rPr>
          <w:rFonts w:ascii="Bookman Old Style" w:hAnsi="Bookman Old Style"/>
          <w:i/>
          <w:sz w:val="24"/>
          <w:szCs w:val="24"/>
        </w:rPr>
        <w:t xml:space="preserve"> </w:t>
      </w:r>
    </w:p>
    <w:p w:rsidR="006568D9" w:rsidRDefault="000A4FBA" w:rsidP="000A4FBA">
      <w:pPr>
        <w:pStyle w:val="ListParagraph"/>
        <w:numPr>
          <w:ilvl w:val="0"/>
          <w:numId w:val="1"/>
        </w:numPr>
        <w:spacing w:line="480" w:lineRule="auto"/>
        <w:ind w:left="567" w:hanging="567"/>
        <w:jc w:val="both"/>
        <w:rPr>
          <w:rFonts w:ascii="Bookman Old Style" w:hAnsi="Bookman Old Style"/>
          <w:sz w:val="24"/>
          <w:szCs w:val="24"/>
        </w:rPr>
      </w:pPr>
      <w:r w:rsidRPr="000A4FBA">
        <w:rPr>
          <w:rFonts w:ascii="Bookman Old Style" w:hAnsi="Bookman Old Style"/>
          <w:sz w:val="24"/>
          <w:szCs w:val="24"/>
        </w:rPr>
        <w:lastRenderedPageBreak/>
        <w:t>It is</w:t>
      </w:r>
      <w:r w:rsidR="007478C7">
        <w:rPr>
          <w:rFonts w:ascii="Bookman Old Style" w:hAnsi="Bookman Old Style"/>
          <w:sz w:val="24"/>
          <w:szCs w:val="24"/>
        </w:rPr>
        <w:t>,</w:t>
      </w:r>
      <w:r w:rsidRPr="000A4FBA">
        <w:rPr>
          <w:rFonts w:ascii="Bookman Old Style" w:hAnsi="Bookman Old Style"/>
          <w:sz w:val="24"/>
          <w:szCs w:val="24"/>
        </w:rPr>
        <w:t xml:space="preserve"> therefore</w:t>
      </w:r>
      <w:r w:rsidR="007478C7">
        <w:rPr>
          <w:rFonts w:ascii="Bookman Old Style" w:hAnsi="Bookman Old Style"/>
          <w:sz w:val="24"/>
          <w:szCs w:val="24"/>
        </w:rPr>
        <w:t>,</w:t>
      </w:r>
      <w:r w:rsidRPr="000A4FBA">
        <w:rPr>
          <w:rFonts w:ascii="Bookman Old Style" w:hAnsi="Bookman Old Style"/>
          <w:sz w:val="24"/>
          <w:szCs w:val="24"/>
        </w:rPr>
        <w:t xml:space="preserve"> cringeworthy of </w:t>
      </w:r>
      <w:r w:rsidR="000A00DA">
        <w:rPr>
          <w:rFonts w:ascii="Bookman Old Style" w:hAnsi="Bookman Old Style"/>
          <w:sz w:val="24"/>
          <w:szCs w:val="24"/>
        </w:rPr>
        <w:t xml:space="preserve">one defendant to say to another that it was not an occupier </w:t>
      </w:r>
      <w:r w:rsidR="00715014">
        <w:rPr>
          <w:rFonts w:ascii="Bookman Old Style" w:hAnsi="Bookman Old Style"/>
          <w:sz w:val="24"/>
          <w:szCs w:val="24"/>
        </w:rPr>
        <w:t xml:space="preserve">because </w:t>
      </w:r>
      <w:r w:rsidR="00C34843">
        <w:rPr>
          <w:rFonts w:ascii="Bookman Old Style" w:hAnsi="Bookman Old Style"/>
          <w:sz w:val="24"/>
          <w:szCs w:val="24"/>
        </w:rPr>
        <w:t xml:space="preserve">the other had a greater level of control over the premises. </w:t>
      </w:r>
      <w:r w:rsidR="003E53D0">
        <w:rPr>
          <w:rFonts w:ascii="Bookman Old Style" w:hAnsi="Bookman Old Style"/>
          <w:sz w:val="24"/>
          <w:szCs w:val="24"/>
        </w:rPr>
        <w:t xml:space="preserve"> </w:t>
      </w:r>
    </w:p>
    <w:p w:rsidR="004505A4" w:rsidRDefault="004505A4" w:rsidP="000A4FBA">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 xml:space="preserve">It is also surprising how rarely occupiers’ liability is pleaded against multiple parties who have had an element of control over the premises. </w:t>
      </w:r>
    </w:p>
    <w:p w:rsidR="001578CF" w:rsidRPr="001578CF" w:rsidRDefault="001578CF" w:rsidP="001578CF">
      <w:pPr>
        <w:spacing w:line="480" w:lineRule="auto"/>
        <w:jc w:val="both"/>
        <w:rPr>
          <w:rFonts w:ascii="Bookman Old Style" w:hAnsi="Bookman Old Style"/>
          <w:b/>
          <w:sz w:val="24"/>
          <w:szCs w:val="24"/>
        </w:rPr>
      </w:pPr>
      <w:r>
        <w:rPr>
          <w:rFonts w:ascii="Bookman Old Style" w:hAnsi="Bookman Old Style"/>
          <w:b/>
          <w:sz w:val="24"/>
          <w:szCs w:val="24"/>
        </w:rPr>
        <w:t>Can a party discharge its obligations as an occupier?</w:t>
      </w:r>
    </w:p>
    <w:p w:rsidR="0010412C" w:rsidRDefault="007E3E2D" w:rsidP="000A4FBA">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 xml:space="preserve">Of course </w:t>
      </w:r>
      <w:r w:rsidR="00851143">
        <w:rPr>
          <w:rFonts w:ascii="Bookman Old Style" w:hAnsi="Bookman Old Style"/>
          <w:sz w:val="24"/>
          <w:szCs w:val="24"/>
        </w:rPr>
        <w:t xml:space="preserve">the answer </w:t>
      </w:r>
      <w:r w:rsidR="007478C7">
        <w:rPr>
          <w:rFonts w:ascii="Bookman Old Style" w:hAnsi="Bookman Old Style"/>
          <w:sz w:val="24"/>
          <w:szCs w:val="24"/>
        </w:rPr>
        <w:t xml:space="preserve">to this question </w:t>
      </w:r>
      <w:r w:rsidR="00851143">
        <w:rPr>
          <w:rFonts w:ascii="Bookman Old Style" w:hAnsi="Bookman Old Style"/>
          <w:sz w:val="24"/>
          <w:szCs w:val="24"/>
        </w:rPr>
        <w:t>is yes</w:t>
      </w:r>
      <w:r>
        <w:rPr>
          <w:rFonts w:ascii="Bookman Old Style" w:hAnsi="Bookman Old Style"/>
          <w:sz w:val="24"/>
          <w:szCs w:val="24"/>
        </w:rPr>
        <w:t xml:space="preserve">. </w:t>
      </w:r>
      <w:r w:rsidR="00BA22F7">
        <w:rPr>
          <w:rFonts w:ascii="Bookman Old Style" w:hAnsi="Bookman Old Style"/>
          <w:sz w:val="24"/>
          <w:szCs w:val="24"/>
        </w:rPr>
        <w:t xml:space="preserve"> </w:t>
      </w:r>
      <w:r w:rsidR="00A22088">
        <w:rPr>
          <w:rFonts w:ascii="Bookman Old Style" w:hAnsi="Bookman Old Style"/>
          <w:sz w:val="24"/>
          <w:szCs w:val="24"/>
        </w:rPr>
        <w:t xml:space="preserve">Once again, it comes down to the element of control. </w:t>
      </w:r>
    </w:p>
    <w:p w:rsidR="00302A7E" w:rsidRPr="00F035E8" w:rsidRDefault="009A425C" w:rsidP="008F0076">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 xml:space="preserve">In </w:t>
      </w:r>
      <w:r>
        <w:rPr>
          <w:rFonts w:ascii="Bookman Old Style" w:hAnsi="Bookman Old Style"/>
          <w:i/>
          <w:sz w:val="24"/>
          <w:szCs w:val="24"/>
        </w:rPr>
        <w:t>Northern Sandblasting</w:t>
      </w:r>
      <w:r>
        <w:rPr>
          <w:rFonts w:ascii="Bookman Old Style" w:hAnsi="Bookman Old Style"/>
          <w:sz w:val="24"/>
          <w:szCs w:val="24"/>
        </w:rPr>
        <w:t xml:space="preserve">, </w:t>
      </w:r>
      <w:r w:rsidR="008F0936">
        <w:rPr>
          <w:rFonts w:ascii="Bookman Old Style" w:hAnsi="Bookman Old Style"/>
          <w:sz w:val="24"/>
          <w:szCs w:val="24"/>
        </w:rPr>
        <w:t xml:space="preserve">the landlord engaged an electrical contractor to do some electrical work.  </w:t>
      </w:r>
      <w:r w:rsidR="00292247">
        <w:rPr>
          <w:rFonts w:ascii="Bookman Old Style" w:hAnsi="Bookman Old Style"/>
          <w:sz w:val="24"/>
          <w:szCs w:val="24"/>
        </w:rPr>
        <w:t xml:space="preserve">When the </w:t>
      </w:r>
      <w:proofErr w:type="gramStart"/>
      <w:r w:rsidR="00292247">
        <w:rPr>
          <w:rFonts w:ascii="Bookman Old Style" w:hAnsi="Bookman Old Style"/>
          <w:sz w:val="24"/>
          <w:szCs w:val="24"/>
        </w:rPr>
        <w:t>nine year old</w:t>
      </w:r>
      <w:proofErr w:type="gramEnd"/>
      <w:r w:rsidR="00292247">
        <w:rPr>
          <w:rFonts w:ascii="Bookman Old Style" w:hAnsi="Bookman Old Style"/>
          <w:sz w:val="24"/>
          <w:szCs w:val="24"/>
        </w:rPr>
        <w:t xml:space="preserve"> child of the </w:t>
      </w:r>
      <w:r w:rsidR="00A815DC">
        <w:rPr>
          <w:rFonts w:ascii="Bookman Old Style" w:hAnsi="Bookman Old Style"/>
          <w:sz w:val="24"/>
          <w:szCs w:val="24"/>
        </w:rPr>
        <w:t>tenants was electrocuted because of the contractor’s work, the landlord accepted it was an ‘occupier’ of the premises</w:t>
      </w:r>
      <w:r w:rsidR="006D67BB">
        <w:rPr>
          <w:rFonts w:ascii="Bookman Old Style" w:hAnsi="Bookman Old Style"/>
          <w:sz w:val="24"/>
          <w:szCs w:val="24"/>
        </w:rPr>
        <w:t xml:space="preserve">. </w:t>
      </w:r>
      <w:r w:rsidR="0051281D">
        <w:rPr>
          <w:rFonts w:ascii="Bookman Old Style" w:hAnsi="Bookman Old Style"/>
          <w:sz w:val="24"/>
          <w:szCs w:val="24"/>
        </w:rPr>
        <w:t xml:space="preserve"> </w:t>
      </w:r>
      <w:r w:rsidR="006046D6">
        <w:rPr>
          <w:rFonts w:ascii="Bookman Old Style" w:hAnsi="Bookman Old Style"/>
          <w:sz w:val="24"/>
          <w:szCs w:val="24"/>
        </w:rPr>
        <w:t>But it argued it discharged its duty by engaging who it believed was a qualified electrician</w:t>
      </w:r>
      <w:r w:rsidR="00A8523D">
        <w:rPr>
          <w:rFonts w:ascii="Bookman Old Style" w:hAnsi="Bookman Old Style"/>
          <w:sz w:val="24"/>
          <w:szCs w:val="24"/>
        </w:rPr>
        <w:t xml:space="preserve">, work it had no </w:t>
      </w:r>
      <w:r w:rsidR="00D9055C">
        <w:rPr>
          <w:rFonts w:ascii="Bookman Old Style" w:hAnsi="Bookman Old Style"/>
          <w:sz w:val="24"/>
          <w:szCs w:val="24"/>
        </w:rPr>
        <w:t>qualifications</w:t>
      </w:r>
      <w:r w:rsidR="00A8523D">
        <w:rPr>
          <w:rFonts w:ascii="Bookman Old Style" w:hAnsi="Bookman Old Style"/>
          <w:sz w:val="24"/>
          <w:szCs w:val="24"/>
        </w:rPr>
        <w:t xml:space="preserve"> to do or supervise. </w:t>
      </w:r>
      <w:r w:rsidR="009213E0">
        <w:rPr>
          <w:rFonts w:ascii="Bookman Old Style" w:hAnsi="Bookman Old Style"/>
          <w:sz w:val="24"/>
          <w:szCs w:val="24"/>
        </w:rPr>
        <w:t xml:space="preserve"> The </w:t>
      </w:r>
      <w:r w:rsidR="002E6411">
        <w:rPr>
          <w:rFonts w:ascii="Bookman Old Style" w:hAnsi="Bookman Old Style"/>
          <w:sz w:val="24"/>
          <w:szCs w:val="24"/>
        </w:rPr>
        <w:t xml:space="preserve">High </w:t>
      </w:r>
      <w:r w:rsidR="009213E0">
        <w:rPr>
          <w:rFonts w:ascii="Bookman Old Style" w:hAnsi="Bookman Old Style"/>
          <w:sz w:val="24"/>
          <w:szCs w:val="24"/>
        </w:rPr>
        <w:t>Court accepted the landlord was not liable</w:t>
      </w:r>
      <w:r w:rsidR="007647F7">
        <w:rPr>
          <w:rFonts w:ascii="Bookman Old Style" w:hAnsi="Bookman Old Style"/>
          <w:sz w:val="24"/>
          <w:szCs w:val="24"/>
        </w:rPr>
        <w:t xml:space="preserve"> for the </w:t>
      </w:r>
      <w:r w:rsidR="00686408">
        <w:rPr>
          <w:rFonts w:ascii="Bookman Old Style" w:hAnsi="Bookman Old Style"/>
          <w:sz w:val="24"/>
          <w:szCs w:val="24"/>
        </w:rPr>
        <w:t>electrician’s</w:t>
      </w:r>
      <w:r w:rsidR="007647F7">
        <w:rPr>
          <w:rFonts w:ascii="Bookman Old Style" w:hAnsi="Bookman Old Style"/>
          <w:sz w:val="24"/>
          <w:szCs w:val="24"/>
        </w:rPr>
        <w:t xml:space="preserve"> negligent work. </w:t>
      </w:r>
    </w:p>
    <w:p w:rsidR="008F0076" w:rsidRPr="004B5EC4" w:rsidRDefault="008F0076" w:rsidP="008F0076">
      <w:pPr>
        <w:spacing w:line="480" w:lineRule="auto"/>
        <w:jc w:val="both"/>
        <w:rPr>
          <w:rFonts w:ascii="Bookman Old Style" w:hAnsi="Bookman Old Style"/>
          <w:b/>
          <w:sz w:val="24"/>
          <w:szCs w:val="24"/>
        </w:rPr>
      </w:pPr>
      <w:r w:rsidRPr="004B5EC4">
        <w:rPr>
          <w:rFonts w:ascii="Bookman Old Style" w:hAnsi="Bookman Old Style"/>
          <w:b/>
          <w:sz w:val="24"/>
          <w:szCs w:val="24"/>
        </w:rPr>
        <w:t xml:space="preserve">The nature and extent of Part IIA of the </w:t>
      </w:r>
      <w:r w:rsidRPr="00984BC1">
        <w:rPr>
          <w:rFonts w:ascii="Bookman Old Style" w:hAnsi="Bookman Old Style"/>
          <w:b/>
          <w:i/>
          <w:sz w:val="24"/>
          <w:szCs w:val="24"/>
        </w:rPr>
        <w:t>Wrongs Act</w:t>
      </w:r>
      <w:r w:rsidRPr="004B5EC4">
        <w:rPr>
          <w:rFonts w:ascii="Bookman Old Style" w:hAnsi="Bookman Old Style"/>
          <w:b/>
          <w:sz w:val="24"/>
          <w:szCs w:val="24"/>
        </w:rPr>
        <w:t xml:space="preserve"> </w:t>
      </w:r>
    </w:p>
    <w:p w:rsidR="005A293A" w:rsidRDefault="00E53CF1" w:rsidP="00643FC7">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 xml:space="preserve">Part IIA of the </w:t>
      </w:r>
      <w:r>
        <w:rPr>
          <w:rFonts w:ascii="Bookman Old Style" w:hAnsi="Bookman Old Style"/>
          <w:i/>
          <w:sz w:val="24"/>
          <w:szCs w:val="24"/>
        </w:rPr>
        <w:t xml:space="preserve">Wrongs Act </w:t>
      </w:r>
      <w:r>
        <w:rPr>
          <w:rFonts w:ascii="Bookman Old Style" w:hAnsi="Bookman Old Style"/>
          <w:sz w:val="24"/>
          <w:szCs w:val="24"/>
        </w:rPr>
        <w:t xml:space="preserve">provides that an occupier of premises must take care to ensure that persons coming onto the premises “will not be injured or damaged by reason of the state of the premises or of things done or omitted to be done in relation to the state of the premises”. </w:t>
      </w:r>
    </w:p>
    <w:p w:rsidR="00525518" w:rsidRPr="00525518" w:rsidRDefault="00525518" w:rsidP="00525518">
      <w:pPr>
        <w:spacing w:line="480" w:lineRule="auto"/>
        <w:jc w:val="both"/>
        <w:rPr>
          <w:rFonts w:ascii="Bookman Old Style" w:hAnsi="Bookman Old Style"/>
          <w:i/>
          <w:sz w:val="24"/>
          <w:szCs w:val="24"/>
        </w:rPr>
      </w:pPr>
      <w:r w:rsidRPr="00525518">
        <w:rPr>
          <w:rFonts w:ascii="Bookman Old Style" w:hAnsi="Bookman Old Style"/>
          <w:i/>
          <w:sz w:val="24"/>
          <w:szCs w:val="24"/>
        </w:rPr>
        <w:t>Separate cause of action or modification of the common law?</w:t>
      </w:r>
    </w:p>
    <w:p w:rsidR="00525518" w:rsidRDefault="00CC32E4" w:rsidP="00643FC7">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 xml:space="preserve">More often than not, plaintiffs will plead that Part IIA of the </w:t>
      </w:r>
      <w:r>
        <w:rPr>
          <w:rFonts w:ascii="Bookman Old Style" w:hAnsi="Bookman Old Style"/>
          <w:i/>
          <w:sz w:val="24"/>
          <w:szCs w:val="24"/>
        </w:rPr>
        <w:t xml:space="preserve">Wrongs Act </w:t>
      </w:r>
      <w:r>
        <w:rPr>
          <w:rFonts w:ascii="Bookman Old Style" w:hAnsi="Bookman Old Style"/>
          <w:sz w:val="24"/>
          <w:szCs w:val="24"/>
        </w:rPr>
        <w:t xml:space="preserve">gives rise to a cause of action against the occupier. </w:t>
      </w:r>
    </w:p>
    <w:p w:rsidR="00CC32E4" w:rsidRPr="00525518" w:rsidRDefault="00A506D0" w:rsidP="00643FC7">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lastRenderedPageBreak/>
        <w:t xml:space="preserve">However, in the leading decision on Part IIA of the </w:t>
      </w:r>
      <w:r>
        <w:rPr>
          <w:rFonts w:ascii="Bookman Old Style" w:hAnsi="Bookman Old Style"/>
          <w:i/>
          <w:sz w:val="24"/>
          <w:szCs w:val="24"/>
        </w:rPr>
        <w:t>Wrongs Act</w:t>
      </w:r>
      <w:r>
        <w:rPr>
          <w:rFonts w:ascii="Bookman Old Style" w:hAnsi="Bookman Old Style"/>
          <w:sz w:val="24"/>
          <w:szCs w:val="24"/>
        </w:rPr>
        <w:t xml:space="preserve">, </w:t>
      </w:r>
      <w:r w:rsidR="003A343C" w:rsidRPr="003A343C">
        <w:rPr>
          <w:rFonts w:ascii="Bookman Old Style" w:hAnsi="Bookman Old Style"/>
          <w:i/>
          <w:sz w:val="24"/>
          <w:szCs w:val="24"/>
        </w:rPr>
        <w:t>Central Goldfields Shire v Haley &amp; Ors</w:t>
      </w:r>
      <w:r w:rsidR="008A53D6">
        <w:rPr>
          <w:rStyle w:val="FootnoteReference"/>
          <w:rFonts w:ascii="Bookman Old Style" w:hAnsi="Bookman Old Style"/>
          <w:i/>
          <w:sz w:val="24"/>
          <w:szCs w:val="24"/>
        </w:rPr>
        <w:footnoteReference w:id="7"/>
      </w:r>
      <w:r w:rsidR="003A343C">
        <w:rPr>
          <w:rFonts w:ascii="Bookman Old Style" w:hAnsi="Bookman Old Style"/>
          <w:sz w:val="24"/>
          <w:szCs w:val="24"/>
        </w:rPr>
        <w:t xml:space="preserve">, </w:t>
      </w:r>
      <w:r w:rsidR="008A53D6">
        <w:rPr>
          <w:rFonts w:ascii="Bookman Old Style" w:hAnsi="Bookman Old Style"/>
          <w:sz w:val="24"/>
          <w:szCs w:val="24"/>
        </w:rPr>
        <w:t xml:space="preserve">Neave JA was of the opinion that this Part </w:t>
      </w:r>
      <w:r w:rsidR="004263E1">
        <w:rPr>
          <w:rFonts w:ascii="Bookman Old Style" w:hAnsi="Bookman Old Style"/>
          <w:sz w:val="24"/>
          <w:szCs w:val="24"/>
        </w:rPr>
        <w:t xml:space="preserve">merely </w:t>
      </w:r>
      <w:r w:rsidR="008A53D6">
        <w:rPr>
          <w:rFonts w:ascii="Bookman Old Style" w:hAnsi="Bookman Old Style"/>
          <w:sz w:val="24"/>
          <w:szCs w:val="24"/>
        </w:rPr>
        <w:t>modified the common law, rather than created a separate cause of action</w:t>
      </w:r>
      <w:r w:rsidR="00D83C6E">
        <w:rPr>
          <w:rFonts w:ascii="Bookman Old Style" w:hAnsi="Bookman Old Style"/>
          <w:sz w:val="24"/>
          <w:szCs w:val="24"/>
        </w:rPr>
        <w:t xml:space="preserve">.  </w:t>
      </w:r>
      <w:r w:rsidR="00A563A2">
        <w:rPr>
          <w:rFonts w:ascii="Bookman Old Style" w:hAnsi="Bookman Old Style"/>
          <w:sz w:val="24"/>
          <w:szCs w:val="24"/>
        </w:rPr>
        <w:t>Beach J cited this case with approval</w:t>
      </w:r>
      <w:r w:rsidR="00D83C6E">
        <w:rPr>
          <w:rFonts w:ascii="Bookman Old Style" w:hAnsi="Bookman Old Style"/>
          <w:sz w:val="24"/>
          <w:szCs w:val="24"/>
        </w:rPr>
        <w:t xml:space="preserve"> in </w:t>
      </w:r>
      <w:r w:rsidR="00D83C6E" w:rsidRPr="00D83C6E">
        <w:rPr>
          <w:rFonts w:ascii="Bookman Old Style" w:hAnsi="Bookman Old Style"/>
          <w:i/>
          <w:sz w:val="24"/>
          <w:szCs w:val="24"/>
        </w:rPr>
        <w:t>Victorian WorkCover Authority v Jones Lang Lasalle (Vic) Pty Ltd</w:t>
      </w:r>
      <w:r w:rsidR="00404D6E">
        <w:rPr>
          <w:rStyle w:val="FootnoteReference"/>
          <w:rFonts w:ascii="Bookman Old Style" w:hAnsi="Bookman Old Style"/>
          <w:i/>
          <w:sz w:val="24"/>
          <w:szCs w:val="24"/>
        </w:rPr>
        <w:footnoteReference w:id="8"/>
      </w:r>
      <w:r w:rsidR="00404D6E">
        <w:rPr>
          <w:rFonts w:ascii="Bookman Old Style" w:hAnsi="Bookman Old Style"/>
          <w:sz w:val="24"/>
          <w:szCs w:val="24"/>
        </w:rPr>
        <w:t xml:space="preserve">. </w:t>
      </w:r>
    </w:p>
    <w:p w:rsidR="00643FC7" w:rsidRPr="00643FC7" w:rsidRDefault="00643FC7" w:rsidP="00643FC7">
      <w:pPr>
        <w:spacing w:line="480" w:lineRule="auto"/>
        <w:jc w:val="both"/>
        <w:rPr>
          <w:rFonts w:ascii="Bookman Old Style" w:hAnsi="Bookman Old Style"/>
          <w:i/>
          <w:sz w:val="24"/>
          <w:szCs w:val="24"/>
        </w:rPr>
      </w:pPr>
      <w:r>
        <w:rPr>
          <w:rFonts w:ascii="Bookman Old Style" w:hAnsi="Bookman Old Style"/>
          <w:i/>
          <w:sz w:val="24"/>
          <w:szCs w:val="24"/>
        </w:rPr>
        <w:t xml:space="preserve">The state of the premises </w:t>
      </w:r>
    </w:p>
    <w:p w:rsidR="00A50855" w:rsidRDefault="00D95579" w:rsidP="009F3C8A">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 xml:space="preserve">It seems clear enough that </w:t>
      </w:r>
      <w:r w:rsidR="00041E51">
        <w:rPr>
          <w:rFonts w:ascii="Bookman Old Style" w:hAnsi="Bookman Old Style"/>
          <w:sz w:val="24"/>
          <w:szCs w:val="24"/>
        </w:rPr>
        <w:t xml:space="preserve">Part </w:t>
      </w:r>
      <w:proofErr w:type="spellStart"/>
      <w:r w:rsidR="00041E51">
        <w:rPr>
          <w:rFonts w:ascii="Bookman Old Style" w:hAnsi="Bookman Old Style"/>
          <w:sz w:val="24"/>
          <w:szCs w:val="24"/>
        </w:rPr>
        <w:t>IIA</w:t>
      </w:r>
      <w:proofErr w:type="spellEnd"/>
      <w:r>
        <w:rPr>
          <w:rFonts w:ascii="Bookman Old Style" w:hAnsi="Bookman Old Style"/>
          <w:sz w:val="24"/>
          <w:szCs w:val="24"/>
        </w:rPr>
        <w:t xml:space="preserve"> only applies to </w:t>
      </w:r>
      <w:r w:rsidR="0055306C">
        <w:rPr>
          <w:rFonts w:ascii="Bookman Old Style" w:hAnsi="Bookman Old Style"/>
          <w:sz w:val="24"/>
          <w:szCs w:val="24"/>
        </w:rPr>
        <w:t xml:space="preserve">the state of the premises itself, not activities </w:t>
      </w:r>
      <w:r w:rsidR="00520739">
        <w:rPr>
          <w:rFonts w:ascii="Bookman Old Style" w:hAnsi="Bookman Old Style"/>
          <w:sz w:val="24"/>
          <w:szCs w:val="24"/>
        </w:rPr>
        <w:t>on the premises, but unrelated</w:t>
      </w:r>
      <w:r w:rsidR="0055306C">
        <w:rPr>
          <w:rFonts w:ascii="Bookman Old Style" w:hAnsi="Bookman Old Style"/>
          <w:sz w:val="24"/>
          <w:szCs w:val="24"/>
        </w:rPr>
        <w:t xml:space="preserve"> to the premises. </w:t>
      </w:r>
    </w:p>
    <w:p w:rsidR="008F3908" w:rsidRDefault="00290B98" w:rsidP="009F3C8A">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 xml:space="preserve">While there is little case law on the point in Victoria, Buchanan JA in </w:t>
      </w:r>
      <w:r w:rsidR="00346824" w:rsidRPr="00346824">
        <w:rPr>
          <w:rFonts w:ascii="Bookman Old Style" w:hAnsi="Bookman Old Style"/>
          <w:i/>
          <w:sz w:val="24"/>
          <w:szCs w:val="24"/>
        </w:rPr>
        <w:t>Agresta v Agresta</w:t>
      </w:r>
      <w:r w:rsidR="003B0514">
        <w:rPr>
          <w:rStyle w:val="FootnoteReference"/>
          <w:rFonts w:ascii="Bookman Old Style" w:hAnsi="Bookman Old Style"/>
          <w:i/>
          <w:sz w:val="24"/>
          <w:szCs w:val="24"/>
        </w:rPr>
        <w:footnoteReference w:id="9"/>
      </w:r>
      <w:r w:rsidR="00993F6B">
        <w:rPr>
          <w:rFonts w:ascii="Bookman Old Style" w:hAnsi="Bookman Old Style"/>
          <w:sz w:val="24"/>
          <w:szCs w:val="24"/>
        </w:rPr>
        <w:t xml:space="preserve"> </w:t>
      </w:r>
      <w:r w:rsidR="00DE21B4">
        <w:rPr>
          <w:rFonts w:ascii="Bookman Old Style" w:hAnsi="Bookman Old Style"/>
          <w:sz w:val="24"/>
          <w:szCs w:val="24"/>
        </w:rPr>
        <w:t xml:space="preserve">accepted that </w:t>
      </w:r>
      <w:r w:rsidR="00616394">
        <w:rPr>
          <w:rFonts w:ascii="Bookman Old Style" w:hAnsi="Bookman Old Style"/>
          <w:sz w:val="24"/>
          <w:szCs w:val="24"/>
        </w:rPr>
        <w:t xml:space="preserve">a worker </w:t>
      </w:r>
      <w:r w:rsidR="00DE21B4">
        <w:rPr>
          <w:rFonts w:ascii="Bookman Old Style" w:hAnsi="Bookman Old Style"/>
          <w:sz w:val="24"/>
          <w:szCs w:val="24"/>
        </w:rPr>
        <w:t xml:space="preserve">digging a hole for </w:t>
      </w:r>
      <w:r w:rsidR="00616394" w:rsidRPr="00616394">
        <w:rPr>
          <w:rFonts w:ascii="Bookman Old Style" w:hAnsi="Bookman Old Style"/>
          <w:sz w:val="24"/>
          <w:szCs w:val="24"/>
        </w:rPr>
        <w:t>verandah</w:t>
      </w:r>
      <w:r w:rsidR="00616394">
        <w:rPr>
          <w:rFonts w:ascii="Bookman Old Style" w:hAnsi="Bookman Old Style"/>
          <w:sz w:val="24"/>
          <w:szCs w:val="24"/>
        </w:rPr>
        <w:t xml:space="preserve"> posts </w:t>
      </w:r>
      <w:r w:rsidR="00F65858">
        <w:rPr>
          <w:rFonts w:ascii="Bookman Old Style" w:hAnsi="Bookman Old Style"/>
          <w:sz w:val="24"/>
          <w:szCs w:val="24"/>
        </w:rPr>
        <w:t xml:space="preserve">- </w:t>
      </w:r>
      <w:r w:rsidR="004C4588">
        <w:rPr>
          <w:rFonts w:ascii="Bookman Old Style" w:hAnsi="Bookman Old Style"/>
          <w:sz w:val="24"/>
          <w:szCs w:val="24"/>
        </w:rPr>
        <w:t>when injured from a faulty drill bit in the drill he was using</w:t>
      </w:r>
      <w:r w:rsidR="00F65858">
        <w:rPr>
          <w:rFonts w:ascii="Bookman Old Style" w:hAnsi="Bookman Old Style"/>
          <w:sz w:val="24"/>
          <w:szCs w:val="24"/>
        </w:rPr>
        <w:t xml:space="preserve"> -</w:t>
      </w:r>
      <w:r w:rsidR="004C4588">
        <w:rPr>
          <w:rFonts w:ascii="Bookman Old Style" w:hAnsi="Bookman Old Style"/>
          <w:sz w:val="24"/>
          <w:szCs w:val="24"/>
        </w:rPr>
        <w:t xml:space="preserve"> was not injured “</w:t>
      </w:r>
      <w:proofErr w:type="gramStart"/>
      <w:r w:rsidR="004C4588">
        <w:rPr>
          <w:rFonts w:ascii="Bookman Old Style" w:hAnsi="Bookman Old Style"/>
          <w:sz w:val="24"/>
          <w:szCs w:val="24"/>
        </w:rPr>
        <w:t>by reason of</w:t>
      </w:r>
      <w:proofErr w:type="gramEnd"/>
      <w:r w:rsidR="004C4588">
        <w:rPr>
          <w:rFonts w:ascii="Bookman Old Style" w:hAnsi="Bookman Old Style"/>
          <w:sz w:val="24"/>
          <w:szCs w:val="24"/>
        </w:rPr>
        <w:t xml:space="preserve"> the state of the premises”</w:t>
      </w:r>
      <w:r w:rsidR="008F3908">
        <w:rPr>
          <w:rFonts w:ascii="Bookman Old Style" w:hAnsi="Bookman Old Style"/>
          <w:sz w:val="24"/>
          <w:szCs w:val="24"/>
        </w:rPr>
        <w:t>.  A</w:t>
      </w:r>
      <w:r w:rsidR="004C4588">
        <w:rPr>
          <w:rFonts w:ascii="Bookman Old Style" w:hAnsi="Bookman Old Style"/>
          <w:sz w:val="24"/>
          <w:szCs w:val="24"/>
        </w:rPr>
        <w:t>ccordingly</w:t>
      </w:r>
      <w:r w:rsidR="008F3908">
        <w:rPr>
          <w:rFonts w:ascii="Bookman Old Style" w:hAnsi="Bookman Old Style"/>
          <w:sz w:val="24"/>
          <w:szCs w:val="24"/>
        </w:rPr>
        <w:t>, the Judge held that</w:t>
      </w:r>
      <w:r w:rsidR="004C4588">
        <w:rPr>
          <w:rFonts w:ascii="Bookman Old Style" w:hAnsi="Bookman Old Style"/>
          <w:sz w:val="24"/>
          <w:szCs w:val="24"/>
        </w:rPr>
        <w:t xml:space="preserve"> Part IIA of the </w:t>
      </w:r>
      <w:r w:rsidR="004C4588">
        <w:rPr>
          <w:rFonts w:ascii="Bookman Old Style" w:hAnsi="Bookman Old Style"/>
          <w:i/>
          <w:sz w:val="24"/>
          <w:szCs w:val="24"/>
        </w:rPr>
        <w:t xml:space="preserve">Wrongs Act </w:t>
      </w:r>
      <w:r w:rsidR="004C4588">
        <w:rPr>
          <w:rFonts w:ascii="Bookman Old Style" w:hAnsi="Bookman Old Style"/>
          <w:sz w:val="24"/>
          <w:szCs w:val="24"/>
        </w:rPr>
        <w:t xml:space="preserve">had no application. </w:t>
      </w:r>
      <w:r w:rsidR="008F3908">
        <w:rPr>
          <w:rFonts w:ascii="Bookman Old Style" w:hAnsi="Bookman Old Style"/>
          <w:sz w:val="24"/>
          <w:szCs w:val="24"/>
        </w:rPr>
        <w:t xml:space="preserve"> </w:t>
      </w:r>
    </w:p>
    <w:p w:rsidR="00520739" w:rsidRDefault="008F3908" w:rsidP="009F3C8A">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That</w:t>
      </w:r>
      <w:r w:rsidR="00AE41A8">
        <w:rPr>
          <w:rFonts w:ascii="Bookman Old Style" w:hAnsi="Bookman Old Style"/>
          <w:sz w:val="24"/>
          <w:szCs w:val="24"/>
        </w:rPr>
        <w:t xml:space="preserve">, of course, does not mean an occupier </w:t>
      </w:r>
      <w:r w:rsidR="006B72F3">
        <w:rPr>
          <w:rFonts w:ascii="Bookman Old Style" w:hAnsi="Bookman Old Style"/>
          <w:sz w:val="24"/>
          <w:szCs w:val="24"/>
        </w:rPr>
        <w:t>could</w:t>
      </w:r>
      <w:r w:rsidR="00AE41A8">
        <w:rPr>
          <w:rFonts w:ascii="Bookman Old Style" w:hAnsi="Bookman Old Style"/>
          <w:sz w:val="24"/>
          <w:szCs w:val="24"/>
        </w:rPr>
        <w:t xml:space="preserve"> not have a liability</w:t>
      </w:r>
      <w:r>
        <w:rPr>
          <w:rFonts w:ascii="Bookman Old Style" w:hAnsi="Bookman Old Style"/>
          <w:sz w:val="24"/>
          <w:szCs w:val="24"/>
        </w:rPr>
        <w:t xml:space="preserve"> </w:t>
      </w:r>
      <w:r w:rsidR="006B72F3">
        <w:rPr>
          <w:rFonts w:ascii="Bookman Old Style" w:hAnsi="Bookman Old Style"/>
          <w:sz w:val="24"/>
          <w:szCs w:val="24"/>
        </w:rPr>
        <w:t>at common law</w:t>
      </w:r>
      <w:r w:rsidR="00C20E0A">
        <w:rPr>
          <w:rFonts w:ascii="Bookman Old Style" w:hAnsi="Bookman Old Style"/>
          <w:sz w:val="24"/>
          <w:szCs w:val="24"/>
        </w:rPr>
        <w:t xml:space="preserve"> because an injur</w:t>
      </w:r>
      <w:r w:rsidR="00041E51">
        <w:rPr>
          <w:rFonts w:ascii="Bookman Old Style" w:hAnsi="Bookman Old Style"/>
          <w:sz w:val="24"/>
          <w:szCs w:val="24"/>
        </w:rPr>
        <w:t>y</w:t>
      </w:r>
      <w:r w:rsidR="00C20E0A">
        <w:rPr>
          <w:rFonts w:ascii="Bookman Old Style" w:hAnsi="Bookman Old Style"/>
          <w:sz w:val="24"/>
          <w:szCs w:val="24"/>
        </w:rPr>
        <w:t xml:space="preserve"> was </w:t>
      </w:r>
      <w:r w:rsidR="00520739">
        <w:rPr>
          <w:rFonts w:ascii="Bookman Old Style" w:hAnsi="Bookman Old Style"/>
          <w:sz w:val="24"/>
          <w:szCs w:val="24"/>
        </w:rPr>
        <w:t>unr</w:t>
      </w:r>
      <w:r w:rsidR="00C20E0A">
        <w:rPr>
          <w:rFonts w:ascii="Bookman Old Style" w:hAnsi="Bookman Old Style"/>
          <w:sz w:val="24"/>
          <w:szCs w:val="24"/>
        </w:rPr>
        <w:t>elated to the state of the premises</w:t>
      </w:r>
      <w:r w:rsidR="001809B2">
        <w:rPr>
          <w:rFonts w:ascii="Bookman Old Style" w:hAnsi="Bookman Old Style"/>
          <w:sz w:val="24"/>
          <w:szCs w:val="24"/>
        </w:rPr>
        <w:t xml:space="preserve">.  </w:t>
      </w:r>
    </w:p>
    <w:p w:rsidR="00290B98" w:rsidRDefault="001809B2" w:rsidP="009F3C8A">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 xml:space="preserve">As we saw from </w:t>
      </w:r>
      <w:r w:rsidR="000F4E6B">
        <w:rPr>
          <w:rFonts w:ascii="Bookman Old Style" w:hAnsi="Bookman Old Style"/>
          <w:sz w:val="24"/>
          <w:szCs w:val="24"/>
        </w:rPr>
        <w:t>the shot fired</w:t>
      </w:r>
      <w:r w:rsidR="00041E51">
        <w:rPr>
          <w:rFonts w:ascii="Bookman Old Style" w:hAnsi="Bookman Old Style"/>
          <w:sz w:val="24"/>
          <w:szCs w:val="24"/>
        </w:rPr>
        <w:t xml:space="preserve"> at the trespasser</w:t>
      </w:r>
      <w:r w:rsidR="000F4E6B">
        <w:rPr>
          <w:rFonts w:ascii="Bookman Old Style" w:hAnsi="Bookman Old Style"/>
          <w:sz w:val="24"/>
          <w:szCs w:val="24"/>
        </w:rPr>
        <w:t xml:space="preserve"> in </w:t>
      </w:r>
      <w:r w:rsidR="000F4E6B">
        <w:rPr>
          <w:rFonts w:ascii="Bookman Old Style" w:hAnsi="Bookman Old Style"/>
          <w:i/>
          <w:sz w:val="24"/>
          <w:szCs w:val="24"/>
        </w:rPr>
        <w:t>Hackshaw</w:t>
      </w:r>
      <w:r w:rsidR="000F4E6B">
        <w:rPr>
          <w:rFonts w:ascii="Bookman Old Style" w:hAnsi="Bookman Old Style"/>
          <w:sz w:val="24"/>
          <w:szCs w:val="24"/>
        </w:rPr>
        <w:t xml:space="preserve">, </w:t>
      </w:r>
      <w:r w:rsidR="000200B6">
        <w:rPr>
          <w:rFonts w:ascii="Bookman Old Style" w:hAnsi="Bookman Old Style"/>
          <w:sz w:val="24"/>
          <w:szCs w:val="24"/>
        </w:rPr>
        <w:t>the property owner was liable as occupier</w:t>
      </w:r>
      <w:r w:rsidR="00D13E47">
        <w:rPr>
          <w:rFonts w:ascii="Bookman Old Style" w:hAnsi="Bookman Old Style"/>
          <w:sz w:val="24"/>
          <w:szCs w:val="24"/>
        </w:rPr>
        <w:t xml:space="preserve"> for shooting his gun, nothing to do with the </w:t>
      </w:r>
      <w:r w:rsidR="008801C9">
        <w:rPr>
          <w:rFonts w:ascii="Bookman Old Style" w:hAnsi="Bookman Old Style"/>
          <w:sz w:val="24"/>
          <w:szCs w:val="24"/>
        </w:rPr>
        <w:t>state</w:t>
      </w:r>
      <w:r w:rsidR="00D13E47">
        <w:rPr>
          <w:rFonts w:ascii="Bookman Old Style" w:hAnsi="Bookman Old Style"/>
          <w:sz w:val="24"/>
          <w:szCs w:val="24"/>
        </w:rPr>
        <w:t xml:space="preserve"> of the premises. </w:t>
      </w:r>
      <w:r w:rsidR="00F65858">
        <w:rPr>
          <w:rFonts w:ascii="Bookman Old Style" w:hAnsi="Bookman Old Style"/>
          <w:sz w:val="24"/>
          <w:szCs w:val="24"/>
        </w:rPr>
        <w:t xml:space="preserve"> And, as noted, Part IIA only modifies the common law </w:t>
      </w:r>
      <w:r w:rsidR="00A3584F">
        <w:rPr>
          <w:rFonts w:ascii="Bookman Old Style" w:hAnsi="Bookman Old Style"/>
          <w:sz w:val="24"/>
          <w:szCs w:val="24"/>
        </w:rPr>
        <w:t>to the extent relevant to its application</w:t>
      </w:r>
      <w:r w:rsidR="00F65858">
        <w:rPr>
          <w:rFonts w:ascii="Bookman Old Style" w:hAnsi="Bookman Old Style"/>
          <w:sz w:val="24"/>
          <w:szCs w:val="24"/>
        </w:rPr>
        <w:t xml:space="preserve">. </w:t>
      </w:r>
    </w:p>
    <w:p w:rsidR="0025432D" w:rsidRPr="00731252" w:rsidRDefault="00AA547C" w:rsidP="00731252">
      <w:pPr>
        <w:spacing w:line="480" w:lineRule="auto"/>
        <w:jc w:val="both"/>
        <w:rPr>
          <w:rFonts w:ascii="Bookman Old Style" w:hAnsi="Bookman Old Style"/>
          <w:i/>
          <w:sz w:val="24"/>
          <w:szCs w:val="24"/>
        </w:rPr>
      </w:pPr>
      <w:r w:rsidRPr="00AA547C">
        <w:rPr>
          <w:rFonts w:ascii="Bookman Old Style" w:hAnsi="Bookman Old Style"/>
          <w:i/>
          <w:sz w:val="24"/>
          <w:szCs w:val="24"/>
        </w:rPr>
        <w:lastRenderedPageBreak/>
        <w:t xml:space="preserve">Discharging </w:t>
      </w:r>
      <w:r w:rsidR="00C103A6">
        <w:rPr>
          <w:rFonts w:ascii="Bookman Old Style" w:hAnsi="Bookman Old Style"/>
          <w:i/>
          <w:sz w:val="24"/>
          <w:szCs w:val="24"/>
        </w:rPr>
        <w:t xml:space="preserve">the </w:t>
      </w:r>
      <w:r w:rsidRPr="00AA547C">
        <w:rPr>
          <w:rFonts w:ascii="Bookman Old Style" w:hAnsi="Bookman Old Style"/>
          <w:i/>
          <w:sz w:val="24"/>
          <w:szCs w:val="24"/>
        </w:rPr>
        <w:t>duty</w:t>
      </w:r>
      <w:r w:rsidR="00C103A6">
        <w:rPr>
          <w:rFonts w:ascii="Bookman Old Style" w:hAnsi="Bookman Old Style"/>
          <w:i/>
          <w:sz w:val="24"/>
          <w:szCs w:val="24"/>
        </w:rPr>
        <w:t xml:space="preserve"> of care</w:t>
      </w:r>
      <w:r w:rsidRPr="00AA547C">
        <w:rPr>
          <w:rFonts w:ascii="Bookman Old Style" w:hAnsi="Bookman Old Style"/>
          <w:i/>
          <w:sz w:val="24"/>
          <w:szCs w:val="24"/>
        </w:rPr>
        <w:t xml:space="preserve"> under Part IIA of the Wrongs Act</w:t>
      </w:r>
    </w:p>
    <w:p w:rsidR="00731252" w:rsidRDefault="00D87B1E" w:rsidP="009F3C8A">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 xml:space="preserve">In addition to discharging an occupier’s duty at common law, the </w:t>
      </w:r>
      <w:r w:rsidR="008053D4">
        <w:rPr>
          <w:rFonts w:ascii="Bookman Old Style" w:hAnsi="Bookman Old Style"/>
          <w:i/>
          <w:sz w:val="24"/>
          <w:szCs w:val="24"/>
        </w:rPr>
        <w:t xml:space="preserve">Wrongs Act </w:t>
      </w:r>
      <w:r w:rsidR="00D63905">
        <w:rPr>
          <w:rFonts w:ascii="Bookman Old Style" w:hAnsi="Bookman Old Style"/>
          <w:sz w:val="24"/>
          <w:szCs w:val="24"/>
        </w:rPr>
        <w:t xml:space="preserve">provides a number of factors the Court must use to determine whether an occupier has discharged the duty over the state of the premises. </w:t>
      </w:r>
    </w:p>
    <w:p w:rsidR="00D63905" w:rsidRDefault="00C147CE" w:rsidP="009F3C8A">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 xml:space="preserve">Recently, in </w:t>
      </w:r>
      <w:r w:rsidRPr="00A3584F">
        <w:rPr>
          <w:rFonts w:ascii="Bookman Old Style" w:hAnsi="Bookman Old Style"/>
          <w:i/>
          <w:sz w:val="24"/>
          <w:szCs w:val="24"/>
        </w:rPr>
        <w:t>VWA v Monash University</w:t>
      </w:r>
      <w:r>
        <w:rPr>
          <w:rStyle w:val="FootnoteReference"/>
          <w:rFonts w:ascii="Bookman Old Style" w:hAnsi="Bookman Old Style"/>
          <w:sz w:val="24"/>
          <w:szCs w:val="24"/>
        </w:rPr>
        <w:footnoteReference w:id="10"/>
      </w:r>
      <w:r>
        <w:rPr>
          <w:rFonts w:ascii="Bookman Old Style" w:hAnsi="Bookman Old Style"/>
          <w:sz w:val="24"/>
          <w:szCs w:val="24"/>
        </w:rPr>
        <w:t xml:space="preserve">, McDonald J went through those factors in holding that </w:t>
      </w:r>
      <w:r w:rsidR="000D55CC">
        <w:rPr>
          <w:rFonts w:ascii="Bookman Old Style" w:hAnsi="Bookman Old Style"/>
          <w:sz w:val="24"/>
          <w:szCs w:val="24"/>
        </w:rPr>
        <w:t xml:space="preserve">Monash Uni was not liable for a worker’s fall on a wet garden path. </w:t>
      </w:r>
    </w:p>
    <w:p w:rsidR="000E0CE0" w:rsidRPr="000E0CE0" w:rsidRDefault="000E0CE0" w:rsidP="000E0CE0">
      <w:pPr>
        <w:spacing w:line="480" w:lineRule="auto"/>
        <w:jc w:val="both"/>
        <w:rPr>
          <w:rFonts w:ascii="Bookman Old Style" w:hAnsi="Bookman Old Style"/>
          <w:i/>
          <w:sz w:val="24"/>
          <w:szCs w:val="24"/>
        </w:rPr>
      </w:pPr>
      <w:r w:rsidRPr="000E0CE0">
        <w:rPr>
          <w:rFonts w:ascii="Bookman Old Style" w:hAnsi="Bookman Old Style"/>
          <w:i/>
          <w:sz w:val="24"/>
          <w:szCs w:val="24"/>
        </w:rPr>
        <w:t xml:space="preserve">Interaction between Part IIA and Part X of the Wrongs Act </w:t>
      </w:r>
    </w:p>
    <w:p w:rsidR="000E0CE0" w:rsidRDefault="000B73F8" w:rsidP="009F3C8A">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 xml:space="preserve">While Part IIA relates exclusively to occupiers’ liability, </w:t>
      </w:r>
      <w:r w:rsidR="001161AA">
        <w:rPr>
          <w:rFonts w:ascii="Bookman Old Style" w:hAnsi="Bookman Old Style"/>
          <w:sz w:val="24"/>
          <w:szCs w:val="24"/>
        </w:rPr>
        <w:t xml:space="preserve">following the </w:t>
      </w:r>
      <w:proofErr w:type="spellStart"/>
      <w:r w:rsidR="001161AA">
        <w:rPr>
          <w:rFonts w:ascii="Bookman Old Style" w:hAnsi="Bookman Old Style"/>
          <w:sz w:val="24"/>
          <w:szCs w:val="24"/>
        </w:rPr>
        <w:t>Ipp</w:t>
      </w:r>
      <w:proofErr w:type="spellEnd"/>
      <w:r w:rsidR="001161AA">
        <w:rPr>
          <w:rFonts w:ascii="Bookman Old Style" w:hAnsi="Bookman Old Style"/>
          <w:sz w:val="24"/>
          <w:szCs w:val="24"/>
        </w:rPr>
        <w:t xml:space="preserve"> reforms, Part X (negligence) was inserted into the </w:t>
      </w:r>
      <w:r w:rsidR="001161AA">
        <w:rPr>
          <w:rFonts w:ascii="Bookman Old Style" w:hAnsi="Bookman Old Style"/>
          <w:i/>
          <w:sz w:val="24"/>
          <w:szCs w:val="24"/>
        </w:rPr>
        <w:t>Wrongs Act</w:t>
      </w:r>
      <w:r w:rsidR="001161AA">
        <w:rPr>
          <w:rFonts w:ascii="Bookman Old Style" w:hAnsi="Bookman Old Style"/>
          <w:sz w:val="24"/>
          <w:szCs w:val="24"/>
        </w:rPr>
        <w:t xml:space="preserve">. </w:t>
      </w:r>
      <w:r w:rsidR="009D49BE">
        <w:rPr>
          <w:rFonts w:ascii="Bookman Old Style" w:hAnsi="Bookman Old Style"/>
          <w:sz w:val="24"/>
          <w:szCs w:val="24"/>
        </w:rPr>
        <w:t xml:space="preserve"> Part X includes sections 48 and 49</w:t>
      </w:r>
      <w:r w:rsidR="00520739">
        <w:rPr>
          <w:rFonts w:ascii="Bookman Old Style" w:hAnsi="Bookman Old Style"/>
          <w:sz w:val="24"/>
          <w:szCs w:val="24"/>
        </w:rPr>
        <w:t>,</w:t>
      </w:r>
      <w:r w:rsidR="009D49BE">
        <w:rPr>
          <w:rFonts w:ascii="Bookman Old Style" w:hAnsi="Bookman Old Style"/>
          <w:sz w:val="24"/>
          <w:szCs w:val="24"/>
        </w:rPr>
        <w:t xml:space="preserve"> </w:t>
      </w:r>
      <w:r w:rsidR="000B13BB">
        <w:rPr>
          <w:rFonts w:ascii="Bookman Old Style" w:hAnsi="Bookman Old Style"/>
          <w:sz w:val="24"/>
          <w:szCs w:val="24"/>
        </w:rPr>
        <w:t>which modify the common law of negligence</w:t>
      </w:r>
      <w:r w:rsidR="00520739">
        <w:rPr>
          <w:rFonts w:ascii="Bookman Old Style" w:hAnsi="Bookman Old Style"/>
          <w:sz w:val="24"/>
          <w:szCs w:val="24"/>
        </w:rPr>
        <w:t xml:space="preserve"> e.g. the duty of care</w:t>
      </w:r>
      <w:r w:rsidR="000B13BB">
        <w:rPr>
          <w:rFonts w:ascii="Bookman Old Style" w:hAnsi="Bookman Old Style"/>
          <w:sz w:val="24"/>
          <w:szCs w:val="24"/>
        </w:rPr>
        <w:t xml:space="preserve">. </w:t>
      </w:r>
    </w:p>
    <w:p w:rsidR="000B13BB" w:rsidRDefault="00586346" w:rsidP="009F3C8A">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 xml:space="preserve">In </w:t>
      </w:r>
      <w:r w:rsidRPr="00A3584F">
        <w:rPr>
          <w:rFonts w:ascii="Bookman Old Style" w:hAnsi="Bookman Old Style"/>
          <w:i/>
          <w:sz w:val="24"/>
          <w:szCs w:val="24"/>
        </w:rPr>
        <w:t>Erickson v Bagley</w:t>
      </w:r>
      <w:r w:rsidR="00660BD8">
        <w:rPr>
          <w:rStyle w:val="FootnoteReference"/>
          <w:rFonts w:ascii="Bookman Old Style" w:hAnsi="Bookman Old Style"/>
          <w:sz w:val="24"/>
          <w:szCs w:val="24"/>
        </w:rPr>
        <w:footnoteReference w:id="11"/>
      </w:r>
      <w:r>
        <w:rPr>
          <w:rFonts w:ascii="Bookman Old Style" w:hAnsi="Bookman Old Style"/>
          <w:sz w:val="24"/>
          <w:szCs w:val="24"/>
        </w:rPr>
        <w:t xml:space="preserve">, the Court of Appeal </w:t>
      </w:r>
      <w:r w:rsidR="004A31D7">
        <w:rPr>
          <w:rFonts w:ascii="Bookman Old Style" w:hAnsi="Bookman Old Style"/>
          <w:sz w:val="24"/>
          <w:szCs w:val="24"/>
        </w:rPr>
        <w:t>ruled that</w:t>
      </w:r>
      <w:r w:rsidR="00D6324B">
        <w:rPr>
          <w:rFonts w:ascii="Bookman Old Style" w:hAnsi="Bookman Old Style"/>
          <w:sz w:val="24"/>
          <w:szCs w:val="24"/>
        </w:rPr>
        <w:t xml:space="preserve"> sections 48 and 49 qualify the duties owed by an occupier under section 14</w:t>
      </w:r>
      <w:proofErr w:type="gramStart"/>
      <w:r w:rsidR="00D6324B">
        <w:rPr>
          <w:rFonts w:ascii="Bookman Old Style" w:hAnsi="Bookman Old Style"/>
          <w:sz w:val="24"/>
          <w:szCs w:val="24"/>
        </w:rPr>
        <w:t>B(</w:t>
      </w:r>
      <w:proofErr w:type="gramEnd"/>
      <w:r w:rsidR="006B1F88">
        <w:rPr>
          <w:rFonts w:ascii="Bookman Old Style" w:hAnsi="Bookman Old Style"/>
          <w:sz w:val="24"/>
          <w:szCs w:val="24"/>
        </w:rPr>
        <w:t>4</w:t>
      </w:r>
      <w:r w:rsidR="00D6324B">
        <w:rPr>
          <w:rFonts w:ascii="Bookman Old Style" w:hAnsi="Bookman Old Style"/>
          <w:sz w:val="24"/>
          <w:szCs w:val="24"/>
        </w:rPr>
        <w:t xml:space="preserve">) of the </w:t>
      </w:r>
      <w:r w:rsidR="00D6324B">
        <w:rPr>
          <w:rFonts w:ascii="Bookman Old Style" w:hAnsi="Bookman Old Style"/>
          <w:i/>
          <w:sz w:val="24"/>
          <w:szCs w:val="24"/>
        </w:rPr>
        <w:t>Wrongs Act</w:t>
      </w:r>
      <w:r w:rsidR="00D6324B">
        <w:rPr>
          <w:rFonts w:ascii="Bookman Old Style" w:hAnsi="Bookman Old Style"/>
          <w:sz w:val="24"/>
          <w:szCs w:val="24"/>
        </w:rPr>
        <w:t xml:space="preserve">. </w:t>
      </w:r>
    </w:p>
    <w:p w:rsidR="00D6324B" w:rsidRDefault="00D6324B" w:rsidP="009F3C8A">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It is therefore important that practitioners turn th</w:t>
      </w:r>
      <w:r w:rsidR="000A62AA">
        <w:rPr>
          <w:rFonts w:ascii="Bookman Old Style" w:hAnsi="Bookman Old Style"/>
          <w:sz w:val="24"/>
          <w:szCs w:val="24"/>
        </w:rPr>
        <w:t xml:space="preserve">eir minds not only to Part </w:t>
      </w:r>
      <w:proofErr w:type="spellStart"/>
      <w:r w:rsidR="000A62AA">
        <w:rPr>
          <w:rFonts w:ascii="Bookman Old Style" w:hAnsi="Bookman Old Style"/>
          <w:sz w:val="24"/>
          <w:szCs w:val="24"/>
        </w:rPr>
        <w:t>IIA</w:t>
      </w:r>
      <w:proofErr w:type="spellEnd"/>
      <w:r w:rsidR="000A62AA">
        <w:rPr>
          <w:rFonts w:ascii="Bookman Old Style" w:hAnsi="Bookman Old Style"/>
          <w:sz w:val="24"/>
          <w:szCs w:val="24"/>
        </w:rPr>
        <w:t xml:space="preserve"> and any common law, </w:t>
      </w:r>
      <w:r>
        <w:rPr>
          <w:rFonts w:ascii="Bookman Old Style" w:hAnsi="Bookman Old Style"/>
          <w:sz w:val="24"/>
          <w:szCs w:val="24"/>
        </w:rPr>
        <w:t xml:space="preserve">but Part X of the </w:t>
      </w:r>
      <w:r>
        <w:rPr>
          <w:rFonts w:ascii="Bookman Old Style" w:hAnsi="Bookman Old Style"/>
          <w:i/>
          <w:sz w:val="24"/>
          <w:szCs w:val="24"/>
        </w:rPr>
        <w:t>Wrongs Act</w:t>
      </w:r>
      <w:r>
        <w:rPr>
          <w:rFonts w:ascii="Bookman Old Style" w:hAnsi="Bookman Old Style"/>
          <w:sz w:val="24"/>
          <w:szCs w:val="24"/>
        </w:rPr>
        <w:t xml:space="preserve">, when assessing the potential lability of an occupier. </w:t>
      </w:r>
    </w:p>
    <w:p w:rsidR="00FE03D8" w:rsidRPr="006F6620" w:rsidRDefault="006F6620" w:rsidP="00FE03D8">
      <w:pPr>
        <w:spacing w:line="480" w:lineRule="auto"/>
        <w:jc w:val="both"/>
        <w:rPr>
          <w:rFonts w:ascii="Bookman Old Style" w:hAnsi="Bookman Old Style"/>
          <w:i/>
          <w:sz w:val="24"/>
          <w:szCs w:val="24"/>
        </w:rPr>
      </w:pPr>
      <w:r>
        <w:rPr>
          <w:rFonts w:ascii="Bookman Old Style" w:hAnsi="Bookman Old Style"/>
          <w:i/>
          <w:sz w:val="24"/>
          <w:szCs w:val="24"/>
        </w:rPr>
        <w:t xml:space="preserve">Contracting out of Part IIA of the Wrongs Act </w:t>
      </w:r>
    </w:p>
    <w:p w:rsidR="006F6620" w:rsidRPr="006F6620" w:rsidRDefault="006F6620" w:rsidP="001F36DC">
      <w:pPr>
        <w:pStyle w:val="ListParagraph"/>
        <w:numPr>
          <w:ilvl w:val="0"/>
          <w:numId w:val="1"/>
        </w:numPr>
        <w:spacing w:line="480" w:lineRule="auto"/>
        <w:ind w:left="567" w:hanging="567"/>
        <w:jc w:val="both"/>
        <w:rPr>
          <w:rFonts w:ascii="Bookman Old Style" w:hAnsi="Bookman Old Style"/>
          <w:b/>
          <w:sz w:val="24"/>
          <w:szCs w:val="24"/>
        </w:rPr>
      </w:pPr>
      <w:r>
        <w:rPr>
          <w:rFonts w:ascii="Bookman Old Style" w:hAnsi="Bookman Old Style"/>
          <w:sz w:val="24"/>
          <w:szCs w:val="24"/>
        </w:rPr>
        <w:t xml:space="preserve">This is an interesting area of the law that, </w:t>
      </w:r>
      <w:r w:rsidR="00CF7E47">
        <w:rPr>
          <w:rFonts w:ascii="Bookman Old Style" w:hAnsi="Bookman Old Style"/>
          <w:sz w:val="24"/>
          <w:szCs w:val="24"/>
        </w:rPr>
        <w:t>to my knowledge</w:t>
      </w:r>
      <w:r>
        <w:rPr>
          <w:rFonts w:ascii="Bookman Old Style" w:hAnsi="Bookman Old Style"/>
          <w:sz w:val="24"/>
          <w:szCs w:val="24"/>
        </w:rPr>
        <w:t xml:space="preserve">, has not been tested in Victoria. </w:t>
      </w:r>
    </w:p>
    <w:p w:rsidR="006F6620" w:rsidRPr="00AF1E4F" w:rsidRDefault="00A3584F" w:rsidP="001F36DC">
      <w:pPr>
        <w:pStyle w:val="ListParagraph"/>
        <w:numPr>
          <w:ilvl w:val="0"/>
          <w:numId w:val="1"/>
        </w:numPr>
        <w:spacing w:line="480" w:lineRule="auto"/>
        <w:ind w:left="567" w:hanging="567"/>
        <w:jc w:val="both"/>
        <w:rPr>
          <w:rFonts w:ascii="Bookman Old Style" w:hAnsi="Bookman Old Style"/>
          <w:b/>
          <w:sz w:val="24"/>
          <w:szCs w:val="24"/>
        </w:rPr>
      </w:pPr>
      <w:r>
        <w:rPr>
          <w:rFonts w:ascii="Bookman Old Style" w:hAnsi="Bookman Old Style"/>
          <w:sz w:val="24"/>
          <w:szCs w:val="24"/>
        </w:rPr>
        <w:lastRenderedPageBreak/>
        <w:t>I</w:t>
      </w:r>
      <w:r w:rsidR="001756C8">
        <w:rPr>
          <w:rFonts w:ascii="Bookman Old Style" w:hAnsi="Bookman Old Style"/>
          <w:sz w:val="24"/>
          <w:szCs w:val="24"/>
        </w:rPr>
        <w:t xml:space="preserve">t </w:t>
      </w:r>
      <w:r w:rsidR="00E60E5E">
        <w:rPr>
          <w:rFonts w:ascii="Bookman Old Style" w:hAnsi="Bookman Old Style"/>
          <w:sz w:val="24"/>
          <w:szCs w:val="24"/>
        </w:rPr>
        <w:t>might be</w:t>
      </w:r>
      <w:r w:rsidR="006F6620">
        <w:rPr>
          <w:rFonts w:ascii="Bookman Old Style" w:hAnsi="Bookman Old Style"/>
          <w:sz w:val="24"/>
          <w:szCs w:val="24"/>
        </w:rPr>
        <w:t xml:space="preserve"> possible for a Defendant to contract out of the occupiers’ liability provisions in the </w:t>
      </w:r>
      <w:r w:rsidR="006F6620">
        <w:rPr>
          <w:rFonts w:ascii="Bookman Old Style" w:hAnsi="Bookman Old Style"/>
          <w:i/>
          <w:sz w:val="24"/>
          <w:szCs w:val="24"/>
        </w:rPr>
        <w:t>Wrongs Act</w:t>
      </w:r>
      <w:r w:rsidR="006F6620">
        <w:rPr>
          <w:rFonts w:ascii="Bookman Old Style" w:hAnsi="Bookman Old Style"/>
          <w:sz w:val="24"/>
          <w:szCs w:val="24"/>
        </w:rPr>
        <w:t xml:space="preserve">.  </w:t>
      </w:r>
    </w:p>
    <w:p w:rsidR="00D24065" w:rsidRPr="00D24065" w:rsidRDefault="006F6620" w:rsidP="001F36DC">
      <w:pPr>
        <w:pStyle w:val="ListParagraph"/>
        <w:numPr>
          <w:ilvl w:val="0"/>
          <w:numId w:val="1"/>
        </w:numPr>
        <w:spacing w:line="480" w:lineRule="auto"/>
        <w:ind w:left="567" w:hanging="567"/>
        <w:jc w:val="both"/>
        <w:rPr>
          <w:rFonts w:ascii="Bookman Old Style" w:hAnsi="Bookman Old Style"/>
          <w:b/>
          <w:sz w:val="24"/>
          <w:szCs w:val="24"/>
        </w:rPr>
      </w:pPr>
      <w:r>
        <w:rPr>
          <w:rFonts w:ascii="Bookman Old Style" w:hAnsi="Bookman Old Style"/>
          <w:sz w:val="24"/>
          <w:szCs w:val="24"/>
        </w:rPr>
        <w:t xml:space="preserve">Section 46 of </w:t>
      </w:r>
      <w:r w:rsidR="00A3584F">
        <w:rPr>
          <w:rFonts w:ascii="Bookman Old Style" w:hAnsi="Bookman Old Style"/>
          <w:sz w:val="24"/>
          <w:szCs w:val="24"/>
        </w:rPr>
        <w:t xml:space="preserve">the </w:t>
      </w:r>
      <w:r w:rsidR="00A3584F">
        <w:rPr>
          <w:rFonts w:ascii="Bookman Old Style" w:hAnsi="Bookman Old Style"/>
          <w:i/>
          <w:sz w:val="24"/>
          <w:szCs w:val="24"/>
        </w:rPr>
        <w:t>Wrongs Act</w:t>
      </w:r>
      <w:r>
        <w:rPr>
          <w:rFonts w:ascii="Bookman Old Style" w:hAnsi="Bookman Old Style"/>
          <w:sz w:val="24"/>
          <w:szCs w:val="24"/>
        </w:rPr>
        <w:t xml:space="preserve"> permits a Defendant to contract out of Part X (negligence) of the </w:t>
      </w:r>
      <w:r>
        <w:rPr>
          <w:rFonts w:ascii="Bookman Old Style" w:hAnsi="Bookman Old Style"/>
          <w:i/>
          <w:sz w:val="24"/>
          <w:szCs w:val="24"/>
        </w:rPr>
        <w:t>Wrongs Act</w:t>
      </w:r>
      <w:r>
        <w:rPr>
          <w:rFonts w:ascii="Bookman Old Style" w:hAnsi="Bookman Old Style"/>
          <w:sz w:val="24"/>
          <w:szCs w:val="24"/>
        </w:rPr>
        <w:t xml:space="preserve">.  Part IIA (occupiers’ liability), on the other hand, is silent.  </w:t>
      </w:r>
    </w:p>
    <w:p w:rsidR="006F6620" w:rsidRPr="006B114B" w:rsidRDefault="006F6620" w:rsidP="001F36DC">
      <w:pPr>
        <w:pStyle w:val="ListParagraph"/>
        <w:numPr>
          <w:ilvl w:val="0"/>
          <w:numId w:val="1"/>
        </w:numPr>
        <w:spacing w:line="480" w:lineRule="auto"/>
        <w:ind w:left="567" w:hanging="567"/>
        <w:jc w:val="both"/>
        <w:rPr>
          <w:rFonts w:ascii="Bookman Old Style" w:hAnsi="Bookman Old Style"/>
          <w:b/>
          <w:sz w:val="24"/>
          <w:szCs w:val="24"/>
        </w:rPr>
      </w:pPr>
      <w:r w:rsidRPr="00E05624">
        <w:rPr>
          <w:rFonts w:ascii="Bookman Old Style" w:hAnsi="Bookman Old Style"/>
          <w:sz w:val="24"/>
          <w:szCs w:val="24"/>
        </w:rPr>
        <w:t xml:space="preserve">But section 14B provides that Part IIA </w:t>
      </w:r>
      <w:r>
        <w:rPr>
          <w:rFonts w:ascii="Bookman Old Style" w:hAnsi="Bookman Old Style"/>
          <w:sz w:val="24"/>
          <w:szCs w:val="24"/>
        </w:rPr>
        <w:t>only replaces the common law to the extent that it relates to the standard of care of an occupier</w:t>
      </w:r>
      <w:r w:rsidR="002E45D4">
        <w:rPr>
          <w:rFonts w:ascii="Bookman Old Style" w:hAnsi="Bookman Old Style"/>
          <w:sz w:val="24"/>
          <w:szCs w:val="24"/>
        </w:rPr>
        <w:t xml:space="preserve"> and the matters referred to in Part IIA</w:t>
      </w:r>
      <w:r>
        <w:rPr>
          <w:rFonts w:ascii="Bookman Old Style" w:hAnsi="Bookman Old Style"/>
          <w:sz w:val="24"/>
          <w:szCs w:val="24"/>
        </w:rPr>
        <w:t xml:space="preserve">.  </w:t>
      </w:r>
    </w:p>
    <w:p w:rsidR="006F6620" w:rsidRDefault="006F6620" w:rsidP="001F36DC">
      <w:pPr>
        <w:pStyle w:val="ListParagraph"/>
        <w:numPr>
          <w:ilvl w:val="0"/>
          <w:numId w:val="1"/>
        </w:numPr>
        <w:spacing w:line="480" w:lineRule="auto"/>
        <w:ind w:left="567" w:hanging="567"/>
        <w:jc w:val="both"/>
        <w:rPr>
          <w:rFonts w:ascii="Bookman Old Style" w:hAnsi="Bookman Old Style"/>
          <w:sz w:val="24"/>
          <w:szCs w:val="24"/>
        </w:rPr>
      </w:pPr>
      <w:r w:rsidRPr="0069081D">
        <w:rPr>
          <w:rFonts w:ascii="Bookman Old Style" w:hAnsi="Bookman Old Style"/>
          <w:bCs/>
          <w:i/>
          <w:sz w:val="24"/>
          <w:szCs w:val="24"/>
        </w:rPr>
        <w:t>Ashdown</w:t>
      </w:r>
      <w:r w:rsidRPr="0069081D">
        <w:rPr>
          <w:rFonts w:ascii="Bookman Old Style" w:hAnsi="Bookman Old Style"/>
          <w:i/>
          <w:sz w:val="24"/>
          <w:szCs w:val="24"/>
        </w:rPr>
        <w:t xml:space="preserve"> v</w:t>
      </w:r>
      <w:r w:rsidRPr="0069081D">
        <w:rPr>
          <w:rFonts w:ascii="Bookman Old Style" w:hAnsi="Bookman Old Style"/>
          <w:bCs/>
          <w:i/>
          <w:sz w:val="24"/>
          <w:szCs w:val="24"/>
        </w:rPr>
        <w:t> Samuel Williams</w:t>
      </w:r>
      <w:r w:rsidRPr="0069081D">
        <w:rPr>
          <w:rFonts w:ascii="Bookman Old Style" w:hAnsi="Bookman Old Style"/>
          <w:i/>
          <w:sz w:val="24"/>
          <w:szCs w:val="24"/>
        </w:rPr>
        <w:t xml:space="preserve"> &amp; Song Lt</w:t>
      </w:r>
      <w:r>
        <w:rPr>
          <w:rFonts w:ascii="Bookman Old Style" w:hAnsi="Bookman Old Style"/>
          <w:i/>
          <w:sz w:val="24"/>
          <w:szCs w:val="24"/>
        </w:rPr>
        <w:t>d</w:t>
      </w:r>
      <w:r>
        <w:rPr>
          <w:rFonts w:ascii="Bookman Old Style" w:hAnsi="Bookman Old Style"/>
          <w:sz w:val="24"/>
          <w:szCs w:val="24"/>
        </w:rPr>
        <w:t xml:space="preserve"> 1957 1 </w:t>
      </w:r>
      <w:proofErr w:type="spellStart"/>
      <w:r>
        <w:rPr>
          <w:rFonts w:ascii="Bookman Old Style" w:hAnsi="Bookman Old Style"/>
          <w:sz w:val="24"/>
          <w:szCs w:val="24"/>
        </w:rPr>
        <w:t>QB</w:t>
      </w:r>
      <w:proofErr w:type="spellEnd"/>
      <w:r w:rsidRPr="0069081D">
        <w:rPr>
          <w:rFonts w:ascii="Bookman Old Style" w:hAnsi="Bookman Old Style"/>
          <w:sz w:val="24"/>
          <w:szCs w:val="24"/>
        </w:rPr>
        <w:t xml:space="preserve"> 409</w:t>
      </w:r>
      <w:r>
        <w:rPr>
          <w:rFonts w:ascii="Bookman Old Style" w:hAnsi="Bookman Old Style"/>
          <w:sz w:val="24"/>
          <w:szCs w:val="24"/>
        </w:rPr>
        <w:t xml:space="preserve"> established that, at common law, an occupier can impose conditions on a person’s entry to premises, including by contract. </w:t>
      </w:r>
    </w:p>
    <w:p w:rsidR="000F480B" w:rsidRDefault="000F480B" w:rsidP="001F36DC">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bCs/>
          <w:sz w:val="24"/>
          <w:szCs w:val="24"/>
        </w:rPr>
        <w:t xml:space="preserve">As noted above, the Court of Appeal has held that Part X of the </w:t>
      </w:r>
      <w:r>
        <w:rPr>
          <w:rFonts w:ascii="Bookman Old Style" w:hAnsi="Bookman Old Style"/>
          <w:bCs/>
          <w:i/>
          <w:sz w:val="24"/>
          <w:szCs w:val="24"/>
        </w:rPr>
        <w:t xml:space="preserve">Wrongs Act </w:t>
      </w:r>
      <w:r>
        <w:rPr>
          <w:rFonts w:ascii="Bookman Old Style" w:hAnsi="Bookman Old Style"/>
          <w:bCs/>
          <w:sz w:val="24"/>
          <w:szCs w:val="24"/>
        </w:rPr>
        <w:t xml:space="preserve">qualifies Part IIA, which may have some bearing on this issue. </w:t>
      </w:r>
    </w:p>
    <w:p w:rsidR="006F6620" w:rsidRDefault="00704051" w:rsidP="001F36DC">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Moreover</w:t>
      </w:r>
      <w:r w:rsidR="006F6620">
        <w:rPr>
          <w:rFonts w:ascii="Bookman Old Style" w:hAnsi="Bookman Old Style"/>
          <w:sz w:val="24"/>
          <w:szCs w:val="24"/>
        </w:rPr>
        <w:t>, as legal academic Richard Johnstone wrote shortly after Part IIA was enacted</w:t>
      </w:r>
      <w:r w:rsidR="006F6620">
        <w:rPr>
          <w:rStyle w:val="FootnoteReference"/>
          <w:rFonts w:ascii="Bookman Old Style" w:hAnsi="Bookman Old Style"/>
          <w:sz w:val="24"/>
          <w:szCs w:val="24"/>
        </w:rPr>
        <w:footnoteReference w:id="12"/>
      </w:r>
      <w:r w:rsidR="006F6620">
        <w:rPr>
          <w:rFonts w:ascii="Bookman Old Style" w:hAnsi="Bookman Old Style"/>
          <w:sz w:val="24"/>
          <w:szCs w:val="24"/>
        </w:rPr>
        <w:t>:</w:t>
      </w:r>
    </w:p>
    <w:p w:rsidR="001F36DC" w:rsidRPr="001F36DC" w:rsidRDefault="001F36DC" w:rsidP="00B3618E">
      <w:pPr>
        <w:spacing w:line="240" w:lineRule="auto"/>
        <w:ind w:left="1134" w:right="522"/>
        <w:jc w:val="both"/>
        <w:rPr>
          <w:rFonts w:ascii="Bookman Old Style" w:hAnsi="Bookman Old Style"/>
          <w:sz w:val="20"/>
          <w:szCs w:val="20"/>
        </w:rPr>
      </w:pPr>
      <w:r w:rsidRPr="001F36DC">
        <w:rPr>
          <w:rFonts w:ascii="Bookman Old Style" w:hAnsi="Bookman Old Style"/>
          <w:sz w:val="20"/>
          <w:szCs w:val="20"/>
        </w:rPr>
        <w:t>“[w]hen an occupier, by contract, excludes his or her liability, that contractual exclusion will usually be effective to limit, or exempt, the occupier from liability to the entrant…As the Occupiers' Liability Act [which implemented the occupiers’ liability provisions in the Wrongs Act] does not refer to this situation, it is arguable that 'Parliament must be taken to have known the law…and to have decided as a matter of policy not to alter it…”</w:t>
      </w:r>
    </w:p>
    <w:p w:rsidR="001F36DC" w:rsidRPr="00C12ACC" w:rsidRDefault="00C12ACC" w:rsidP="001F36DC">
      <w:pPr>
        <w:spacing w:line="480" w:lineRule="auto"/>
        <w:jc w:val="both"/>
        <w:rPr>
          <w:rFonts w:ascii="Bookman Old Style" w:hAnsi="Bookman Old Style"/>
          <w:i/>
          <w:sz w:val="24"/>
          <w:szCs w:val="24"/>
        </w:rPr>
      </w:pPr>
      <w:r>
        <w:rPr>
          <w:rFonts w:ascii="Bookman Old Style" w:hAnsi="Bookman Old Style"/>
          <w:i/>
          <w:sz w:val="24"/>
          <w:szCs w:val="24"/>
        </w:rPr>
        <w:t>Contracting out</w:t>
      </w:r>
      <w:r w:rsidR="00E60E5E">
        <w:rPr>
          <w:rFonts w:ascii="Bookman Old Style" w:hAnsi="Bookman Old Style"/>
          <w:i/>
          <w:sz w:val="24"/>
          <w:szCs w:val="24"/>
        </w:rPr>
        <w:t xml:space="preserve"> of Part </w:t>
      </w:r>
      <w:proofErr w:type="spellStart"/>
      <w:r w:rsidR="00E60E5E">
        <w:rPr>
          <w:rFonts w:ascii="Bookman Old Style" w:hAnsi="Bookman Old Style"/>
          <w:i/>
          <w:sz w:val="24"/>
          <w:szCs w:val="24"/>
        </w:rPr>
        <w:t>IIA</w:t>
      </w:r>
      <w:proofErr w:type="spellEnd"/>
      <w:r>
        <w:rPr>
          <w:rFonts w:ascii="Bookman Old Style" w:hAnsi="Bookman Old Style"/>
          <w:i/>
          <w:sz w:val="24"/>
          <w:szCs w:val="24"/>
        </w:rPr>
        <w:t xml:space="preserve">: </w:t>
      </w:r>
      <w:r w:rsidR="00520739">
        <w:rPr>
          <w:rFonts w:ascii="Bookman Old Style" w:hAnsi="Bookman Old Style"/>
          <w:i/>
          <w:sz w:val="24"/>
          <w:szCs w:val="24"/>
        </w:rPr>
        <w:t xml:space="preserve">the </w:t>
      </w:r>
      <w:r>
        <w:rPr>
          <w:rFonts w:ascii="Bookman Old Style" w:hAnsi="Bookman Old Style"/>
          <w:i/>
          <w:sz w:val="24"/>
          <w:szCs w:val="24"/>
        </w:rPr>
        <w:t>c</w:t>
      </w:r>
      <w:r w:rsidR="007019BA" w:rsidRPr="00C12ACC">
        <w:rPr>
          <w:rFonts w:ascii="Bookman Old Style" w:hAnsi="Bookman Old Style"/>
          <w:i/>
          <w:sz w:val="24"/>
          <w:szCs w:val="24"/>
        </w:rPr>
        <w:t xml:space="preserve">ontractual terms </w:t>
      </w:r>
    </w:p>
    <w:p w:rsidR="001F36DC" w:rsidRDefault="00C110E6" w:rsidP="001F36DC">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 xml:space="preserve">While it seems that it may be possible to contract out of the provisions of Part IIA of the </w:t>
      </w:r>
      <w:r>
        <w:rPr>
          <w:rFonts w:ascii="Bookman Old Style" w:hAnsi="Bookman Old Style"/>
          <w:i/>
          <w:sz w:val="24"/>
          <w:szCs w:val="24"/>
        </w:rPr>
        <w:t>Wrongs Act</w:t>
      </w:r>
      <w:r>
        <w:rPr>
          <w:rFonts w:ascii="Bookman Old Style" w:hAnsi="Bookman Old Style"/>
          <w:sz w:val="24"/>
          <w:szCs w:val="24"/>
        </w:rPr>
        <w:t xml:space="preserve">, </w:t>
      </w:r>
      <w:r w:rsidR="007F0470">
        <w:rPr>
          <w:rFonts w:ascii="Bookman Old Style" w:hAnsi="Bookman Old Style"/>
          <w:sz w:val="24"/>
          <w:szCs w:val="24"/>
        </w:rPr>
        <w:t xml:space="preserve">it would </w:t>
      </w:r>
      <w:r w:rsidR="00A777A7">
        <w:rPr>
          <w:rFonts w:ascii="Bookman Old Style" w:hAnsi="Bookman Old Style"/>
          <w:sz w:val="24"/>
          <w:szCs w:val="24"/>
        </w:rPr>
        <w:t xml:space="preserve">equally </w:t>
      </w:r>
      <w:r w:rsidR="007F0470">
        <w:rPr>
          <w:rFonts w:ascii="Bookman Old Style" w:hAnsi="Bookman Old Style"/>
          <w:sz w:val="24"/>
          <w:szCs w:val="24"/>
        </w:rPr>
        <w:t xml:space="preserve">seem to require </w:t>
      </w:r>
      <w:r w:rsidR="004732CC">
        <w:rPr>
          <w:rFonts w:ascii="Bookman Old Style" w:hAnsi="Bookman Old Style"/>
          <w:sz w:val="24"/>
          <w:szCs w:val="24"/>
        </w:rPr>
        <w:t xml:space="preserve">wording to the clearest effect and wording that was brought to the person’s attention. </w:t>
      </w:r>
    </w:p>
    <w:p w:rsidR="00D4423A" w:rsidRDefault="00890041" w:rsidP="001F36DC">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lastRenderedPageBreak/>
        <w:t xml:space="preserve">In </w:t>
      </w:r>
      <w:r w:rsidRPr="00D71636">
        <w:rPr>
          <w:rFonts w:ascii="Bookman Old Style" w:hAnsi="Bookman Old Style"/>
          <w:i/>
          <w:sz w:val="24"/>
          <w:szCs w:val="24"/>
        </w:rPr>
        <w:t>Oceanic Sun Line Special Shipping Company Inc v Fay</w:t>
      </w:r>
      <w:r w:rsidR="00D950BF">
        <w:rPr>
          <w:rStyle w:val="FootnoteReference"/>
          <w:rFonts w:ascii="Bookman Old Style" w:hAnsi="Bookman Old Style"/>
          <w:i/>
          <w:sz w:val="24"/>
          <w:szCs w:val="24"/>
        </w:rPr>
        <w:footnoteReference w:id="13"/>
      </w:r>
      <w:r>
        <w:rPr>
          <w:rFonts w:ascii="Bookman Old Style" w:hAnsi="Bookman Old Style"/>
          <w:sz w:val="24"/>
          <w:szCs w:val="24"/>
        </w:rPr>
        <w:t xml:space="preserve">, for example, </w:t>
      </w:r>
      <w:r w:rsidR="00D950BF">
        <w:rPr>
          <w:rFonts w:ascii="Bookman Old Style" w:hAnsi="Bookman Old Style"/>
          <w:sz w:val="24"/>
          <w:szCs w:val="24"/>
        </w:rPr>
        <w:t>the High Court said it was not enough to have an exemption of liability clause</w:t>
      </w:r>
      <w:r w:rsidR="00DF0544">
        <w:rPr>
          <w:rFonts w:ascii="Bookman Old Style" w:hAnsi="Bookman Old Style"/>
          <w:sz w:val="24"/>
          <w:szCs w:val="24"/>
        </w:rPr>
        <w:t xml:space="preserve"> for personal injury</w:t>
      </w:r>
      <w:r w:rsidR="00D950BF">
        <w:rPr>
          <w:rFonts w:ascii="Bookman Old Style" w:hAnsi="Bookman Old Style"/>
          <w:sz w:val="24"/>
          <w:szCs w:val="24"/>
        </w:rPr>
        <w:t xml:space="preserve"> contained in a brochure </w:t>
      </w:r>
      <w:r w:rsidR="00693C0F">
        <w:rPr>
          <w:rFonts w:ascii="Bookman Old Style" w:hAnsi="Bookman Old Style"/>
          <w:sz w:val="24"/>
          <w:szCs w:val="24"/>
        </w:rPr>
        <w:t>before the injured person purchased their ticket.</w:t>
      </w:r>
      <w:r w:rsidR="00E91033">
        <w:rPr>
          <w:rFonts w:ascii="Bookman Old Style" w:hAnsi="Bookman Old Style"/>
          <w:sz w:val="24"/>
          <w:szCs w:val="24"/>
        </w:rPr>
        <w:t xml:space="preserve">  </w:t>
      </w:r>
    </w:p>
    <w:p w:rsidR="00D4423A" w:rsidRDefault="00D4423A" w:rsidP="00904422">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As Brennan J said:</w:t>
      </w:r>
    </w:p>
    <w:p w:rsidR="00904422" w:rsidRDefault="00D4423A" w:rsidP="00B3618E">
      <w:pPr>
        <w:pStyle w:val="ListParagraph"/>
        <w:tabs>
          <w:tab w:val="left" w:pos="8505"/>
        </w:tabs>
        <w:spacing w:line="240" w:lineRule="auto"/>
        <w:ind w:right="522"/>
        <w:jc w:val="both"/>
        <w:rPr>
          <w:rFonts w:ascii="Bookman Old Style" w:hAnsi="Bookman Old Style"/>
          <w:sz w:val="20"/>
          <w:szCs w:val="20"/>
        </w:rPr>
      </w:pPr>
      <w:r w:rsidRPr="00D4423A">
        <w:rPr>
          <w:rFonts w:ascii="Bookman Old Style" w:hAnsi="Bookman Old Style"/>
          <w:sz w:val="20"/>
          <w:szCs w:val="20"/>
        </w:rPr>
        <w:t xml:space="preserve">“…where an exemption clause is contained in a ticket or other document intended by the carrier to contain the terms of carriage, yet the other party is not in fact aware when the contract is made that an exemption clause is intended to be a term of the contract, the carrier cannot rely on that clause unless, at the time of the contract, </w:t>
      </w:r>
      <w:r w:rsidRPr="00D4423A">
        <w:rPr>
          <w:rFonts w:ascii="Bookman Old Style" w:hAnsi="Bookman Old Style"/>
          <w:b/>
          <w:sz w:val="20"/>
          <w:szCs w:val="20"/>
        </w:rPr>
        <w:t>the carrier had done all that was reasonably necessary to bring the exemption clause to the passenger's notice</w:t>
      </w:r>
      <w:r w:rsidRPr="00D4423A">
        <w:rPr>
          <w:rFonts w:ascii="Bookman Old Style" w:hAnsi="Bookman Old Style"/>
          <w:sz w:val="20"/>
          <w:szCs w:val="20"/>
        </w:rPr>
        <w:t>."</w:t>
      </w:r>
      <w:r w:rsidRPr="00D4423A">
        <w:rPr>
          <w:rStyle w:val="FootnoteReference"/>
          <w:rFonts w:ascii="Bookman Old Style" w:hAnsi="Bookman Old Style"/>
          <w:sz w:val="20"/>
          <w:szCs w:val="20"/>
        </w:rPr>
        <w:footnoteReference w:id="14"/>
      </w:r>
      <w:r w:rsidRPr="00D4423A">
        <w:rPr>
          <w:rFonts w:ascii="Bookman Old Style" w:hAnsi="Bookman Old Style"/>
          <w:sz w:val="20"/>
          <w:szCs w:val="20"/>
        </w:rPr>
        <w:t xml:space="preserve"> [emphasis added]</w:t>
      </w:r>
    </w:p>
    <w:p w:rsidR="00302A7E" w:rsidRDefault="00302A7E" w:rsidP="00B3618E">
      <w:pPr>
        <w:pStyle w:val="ListParagraph"/>
        <w:tabs>
          <w:tab w:val="left" w:pos="8505"/>
        </w:tabs>
        <w:spacing w:line="240" w:lineRule="auto"/>
        <w:ind w:right="522"/>
        <w:jc w:val="both"/>
        <w:rPr>
          <w:rFonts w:ascii="Bookman Old Style" w:hAnsi="Bookman Old Style"/>
          <w:sz w:val="20"/>
          <w:szCs w:val="20"/>
        </w:rPr>
      </w:pPr>
    </w:p>
    <w:p w:rsidR="007275ED" w:rsidRPr="00520739" w:rsidRDefault="00292F8F" w:rsidP="00520739">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 xml:space="preserve">Are erecting warning signs enough to contract out of Part IIA of the </w:t>
      </w:r>
      <w:r>
        <w:rPr>
          <w:rFonts w:ascii="Bookman Old Style" w:hAnsi="Bookman Old Style"/>
          <w:i/>
          <w:sz w:val="24"/>
          <w:szCs w:val="24"/>
        </w:rPr>
        <w:t>Wrongs Act</w:t>
      </w:r>
      <w:r w:rsidR="003602DC">
        <w:rPr>
          <w:rFonts w:ascii="Bookman Old Style" w:hAnsi="Bookman Old Style"/>
          <w:sz w:val="24"/>
          <w:szCs w:val="24"/>
        </w:rPr>
        <w:t xml:space="preserve">?  </w:t>
      </w:r>
      <w:r w:rsidR="007275ED" w:rsidRPr="00520739">
        <w:rPr>
          <w:rFonts w:ascii="Bookman Old Style" w:hAnsi="Bookman Old Style"/>
          <w:sz w:val="24"/>
          <w:szCs w:val="24"/>
        </w:rPr>
        <w:t xml:space="preserve">Probably not, in my view. </w:t>
      </w:r>
    </w:p>
    <w:p w:rsidR="007275ED" w:rsidRPr="007275ED" w:rsidRDefault="007275ED" w:rsidP="007275ED">
      <w:pPr>
        <w:pStyle w:val="ListParagraph"/>
        <w:numPr>
          <w:ilvl w:val="0"/>
          <w:numId w:val="1"/>
        </w:numPr>
        <w:spacing w:line="480" w:lineRule="auto"/>
        <w:ind w:left="567" w:hanging="567"/>
        <w:jc w:val="both"/>
        <w:rPr>
          <w:rFonts w:ascii="Bookman Old Style" w:hAnsi="Bookman Old Style"/>
          <w:sz w:val="24"/>
          <w:szCs w:val="24"/>
        </w:rPr>
      </w:pPr>
      <w:r w:rsidRPr="007275ED">
        <w:rPr>
          <w:rFonts w:ascii="Bookman Old Style" w:hAnsi="Bookman Old Style"/>
          <w:sz w:val="24"/>
          <w:szCs w:val="24"/>
        </w:rPr>
        <w:t xml:space="preserve">Lord Denning in </w:t>
      </w:r>
      <w:r w:rsidRPr="007275ED">
        <w:rPr>
          <w:rFonts w:ascii="Bookman Old Style" w:hAnsi="Bookman Old Style"/>
          <w:i/>
          <w:sz w:val="24"/>
          <w:szCs w:val="24"/>
        </w:rPr>
        <w:t>White v Blackmore</w:t>
      </w:r>
      <w:r w:rsidRPr="007275ED">
        <w:rPr>
          <w:rFonts w:ascii="Bookman Old Style" w:hAnsi="Bookman Old Style"/>
          <w:sz w:val="24"/>
          <w:szCs w:val="24"/>
        </w:rPr>
        <w:t xml:space="preserve"> [1972] EWCA Civ 11 (15 June 1972)</w:t>
      </w:r>
      <w:r>
        <w:rPr>
          <w:rStyle w:val="FootnoteReference"/>
          <w:rFonts w:ascii="Bookman Old Style" w:hAnsi="Bookman Old Style"/>
          <w:sz w:val="24"/>
          <w:szCs w:val="24"/>
        </w:rPr>
        <w:footnoteReference w:id="15"/>
      </w:r>
      <w:r w:rsidRPr="007275ED">
        <w:rPr>
          <w:rFonts w:ascii="Bookman Old Style" w:hAnsi="Bookman Old Style"/>
          <w:sz w:val="24"/>
          <w:szCs w:val="24"/>
        </w:rPr>
        <w:t xml:space="preserve"> said this</w:t>
      </w:r>
      <w:r>
        <w:rPr>
          <w:rFonts w:ascii="Bookman Old Style" w:hAnsi="Bookman Old Style"/>
          <w:sz w:val="24"/>
          <w:szCs w:val="24"/>
        </w:rPr>
        <w:t xml:space="preserve"> about warning signs</w:t>
      </w:r>
      <w:r w:rsidRPr="007275ED">
        <w:rPr>
          <w:rFonts w:ascii="Bookman Old Style" w:hAnsi="Bookman Old Style"/>
          <w:sz w:val="24"/>
          <w:szCs w:val="24"/>
        </w:rPr>
        <w:t>:</w:t>
      </w:r>
    </w:p>
    <w:p w:rsidR="007275ED" w:rsidRPr="00D776B8" w:rsidRDefault="007275ED" w:rsidP="00B3618E">
      <w:pPr>
        <w:pStyle w:val="ListParagraph"/>
        <w:spacing w:line="240" w:lineRule="auto"/>
        <w:ind w:left="1440" w:right="522"/>
        <w:jc w:val="both"/>
        <w:rPr>
          <w:rFonts w:ascii="Bookman Old Style" w:hAnsi="Bookman Old Style"/>
          <w:sz w:val="20"/>
          <w:szCs w:val="20"/>
        </w:rPr>
      </w:pPr>
      <w:r w:rsidRPr="00D776B8">
        <w:rPr>
          <w:rFonts w:ascii="Bookman Old Style" w:hAnsi="Bookman Old Style"/>
          <w:sz w:val="20"/>
          <w:szCs w:val="20"/>
        </w:rPr>
        <w:t>“[there] was the poster at the entrance headed "Warning to the Public".  This was clearly no part of the contract.  The contract was contained in the programme, which, as I have said, was the contractual document.  This warning notice was not incorporated into the programme by reference, or otherwise…</w:t>
      </w:r>
    </w:p>
    <w:p w:rsidR="007275ED" w:rsidRPr="00D776B8" w:rsidRDefault="007275ED" w:rsidP="00B3618E">
      <w:pPr>
        <w:pStyle w:val="ListParagraph"/>
        <w:spacing w:line="240" w:lineRule="auto"/>
        <w:ind w:left="1440" w:right="522"/>
        <w:jc w:val="both"/>
        <w:rPr>
          <w:rFonts w:ascii="Bookman Old Style" w:hAnsi="Bookman Old Style"/>
          <w:sz w:val="20"/>
          <w:szCs w:val="20"/>
        </w:rPr>
      </w:pPr>
      <w:r w:rsidRPr="00D776B8">
        <w:rPr>
          <w:rFonts w:ascii="Bookman Old Style" w:hAnsi="Bookman Old Style"/>
          <w:sz w:val="20"/>
          <w:szCs w:val="20"/>
        </w:rPr>
        <w:t>The Courts are very reluctant to hold a person bound by any exemption or condition unless it forms part of the contract between them.  If there is a contractual document (as here the programme) the organisers must incorporate it into the document…”</w:t>
      </w:r>
    </w:p>
    <w:p w:rsidR="006C6B42" w:rsidRPr="00D776B8" w:rsidRDefault="006C6B42" w:rsidP="006C6B42">
      <w:pPr>
        <w:spacing w:line="360" w:lineRule="auto"/>
        <w:ind w:right="521"/>
        <w:jc w:val="both"/>
        <w:rPr>
          <w:rFonts w:ascii="Bookman Old Style" w:hAnsi="Bookman Old Style"/>
          <w:i/>
          <w:sz w:val="24"/>
          <w:szCs w:val="24"/>
        </w:rPr>
      </w:pPr>
      <w:r w:rsidRPr="00D776B8">
        <w:rPr>
          <w:rFonts w:ascii="Bookman Old Style" w:hAnsi="Bookman Old Style"/>
          <w:i/>
          <w:sz w:val="24"/>
          <w:szCs w:val="24"/>
        </w:rPr>
        <w:t xml:space="preserve">Whether the warning sign can discharge an occupier’s duty of care </w:t>
      </w:r>
    </w:p>
    <w:p w:rsidR="006C6B42" w:rsidRDefault="006C6B42" w:rsidP="00B3618E">
      <w:pPr>
        <w:pStyle w:val="ListParagraph"/>
        <w:numPr>
          <w:ilvl w:val="0"/>
          <w:numId w:val="1"/>
        </w:numPr>
        <w:spacing w:line="480" w:lineRule="auto"/>
        <w:ind w:left="567" w:right="96" w:hanging="567"/>
        <w:jc w:val="both"/>
        <w:rPr>
          <w:rFonts w:ascii="Bookman Old Style" w:hAnsi="Bookman Old Style"/>
          <w:sz w:val="24"/>
          <w:szCs w:val="24"/>
        </w:rPr>
      </w:pPr>
      <w:r>
        <w:rPr>
          <w:rFonts w:ascii="Bookman Old Style" w:hAnsi="Bookman Old Style"/>
          <w:sz w:val="24"/>
          <w:szCs w:val="24"/>
        </w:rPr>
        <w:t xml:space="preserve">The old common law rule was that, in some cases, an occupier could discharge its common law duty as an </w:t>
      </w:r>
      <w:proofErr w:type="spellStart"/>
      <w:r>
        <w:rPr>
          <w:rFonts w:ascii="Bookman Old Style" w:hAnsi="Bookman Old Style"/>
          <w:sz w:val="24"/>
          <w:szCs w:val="24"/>
        </w:rPr>
        <w:t>occupier</w:t>
      </w:r>
      <w:proofErr w:type="spellEnd"/>
      <w:r>
        <w:rPr>
          <w:rFonts w:ascii="Bookman Old Style" w:hAnsi="Bookman Old Style"/>
          <w:sz w:val="24"/>
          <w:szCs w:val="24"/>
        </w:rPr>
        <w:t xml:space="preserve"> by erecting a warning </w:t>
      </w:r>
      <w:r>
        <w:rPr>
          <w:rFonts w:ascii="Bookman Old Style" w:hAnsi="Bookman Old Style"/>
          <w:sz w:val="24"/>
          <w:szCs w:val="24"/>
        </w:rPr>
        <w:lastRenderedPageBreak/>
        <w:t>sign purporting to limit its liability, even if it did not form part of a contract with the entrant</w:t>
      </w:r>
      <w:r>
        <w:rPr>
          <w:rStyle w:val="FootnoteReference"/>
          <w:rFonts w:ascii="Bookman Old Style" w:hAnsi="Bookman Old Style"/>
          <w:sz w:val="24"/>
          <w:szCs w:val="24"/>
        </w:rPr>
        <w:footnoteReference w:id="16"/>
      </w:r>
      <w:r>
        <w:rPr>
          <w:rFonts w:ascii="Bookman Old Style" w:hAnsi="Bookman Old Style"/>
          <w:sz w:val="24"/>
          <w:szCs w:val="24"/>
        </w:rPr>
        <w:t xml:space="preserve">.   </w:t>
      </w:r>
    </w:p>
    <w:p w:rsidR="006C6B42" w:rsidRDefault="006C6B42" w:rsidP="00B3618E">
      <w:pPr>
        <w:pStyle w:val="ListParagraph"/>
        <w:numPr>
          <w:ilvl w:val="0"/>
          <w:numId w:val="1"/>
        </w:numPr>
        <w:spacing w:line="480" w:lineRule="auto"/>
        <w:ind w:left="567" w:right="96" w:hanging="567"/>
        <w:jc w:val="both"/>
        <w:rPr>
          <w:rFonts w:ascii="Bookman Old Style" w:hAnsi="Bookman Old Style"/>
          <w:sz w:val="24"/>
          <w:szCs w:val="24"/>
        </w:rPr>
      </w:pPr>
      <w:r>
        <w:rPr>
          <w:rFonts w:ascii="Bookman Old Style" w:hAnsi="Bookman Old Style"/>
          <w:sz w:val="24"/>
          <w:szCs w:val="24"/>
        </w:rPr>
        <w:t xml:space="preserve">About the old common law rule and its interaction with Part IIA </w:t>
      </w:r>
      <w:r>
        <w:rPr>
          <w:rFonts w:ascii="Bookman Old Style" w:hAnsi="Bookman Old Style"/>
          <w:i/>
          <w:sz w:val="24"/>
          <w:szCs w:val="24"/>
        </w:rPr>
        <w:t>Wrongs Act</w:t>
      </w:r>
      <w:r>
        <w:rPr>
          <w:rFonts w:ascii="Bookman Old Style" w:hAnsi="Bookman Old Style"/>
          <w:sz w:val="24"/>
          <w:szCs w:val="24"/>
        </w:rPr>
        <w:t>, Johnstone wrote</w:t>
      </w:r>
      <w:r>
        <w:rPr>
          <w:rStyle w:val="FootnoteReference"/>
          <w:rFonts w:ascii="Bookman Old Style" w:hAnsi="Bookman Old Style"/>
          <w:sz w:val="24"/>
          <w:szCs w:val="24"/>
        </w:rPr>
        <w:footnoteReference w:id="17"/>
      </w:r>
      <w:r>
        <w:rPr>
          <w:rFonts w:ascii="Bookman Old Style" w:hAnsi="Bookman Old Style"/>
          <w:sz w:val="24"/>
          <w:szCs w:val="24"/>
        </w:rPr>
        <w:t>:</w:t>
      </w:r>
    </w:p>
    <w:p w:rsidR="006C6B42" w:rsidRDefault="006C6B42" w:rsidP="00B3618E">
      <w:pPr>
        <w:pStyle w:val="ListParagraph"/>
        <w:spacing w:line="240" w:lineRule="auto"/>
        <w:ind w:left="1440" w:right="522"/>
        <w:jc w:val="both"/>
        <w:rPr>
          <w:rFonts w:ascii="Bookman Old Style" w:hAnsi="Bookman Old Style"/>
          <w:sz w:val="20"/>
          <w:szCs w:val="20"/>
        </w:rPr>
      </w:pPr>
      <w:r w:rsidRPr="00D776B8">
        <w:rPr>
          <w:rFonts w:ascii="Bookman Old Style" w:hAnsi="Bookman Old Style"/>
          <w:sz w:val="20"/>
          <w:szCs w:val="20"/>
        </w:rPr>
        <w:t>“[</w:t>
      </w:r>
      <w:proofErr w:type="spellStart"/>
      <w:r w:rsidRPr="00D776B8">
        <w:rPr>
          <w:rFonts w:ascii="Bookman Old Style" w:hAnsi="Bookman Old Style"/>
          <w:sz w:val="20"/>
          <w:szCs w:val="20"/>
        </w:rPr>
        <w:t>i</w:t>
      </w:r>
      <w:proofErr w:type="spellEnd"/>
      <w:r w:rsidRPr="00D776B8">
        <w:rPr>
          <w:rFonts w:ascii="Bookman Old Style" w:hAnsi="Bookman Old Style"/>
          <w:sz w:val="20"/>
          <w:szCs w:val="20"/>
        </w:rPr>
        <w:t>]t would appear that section 14</w:t>
      </w:r>
      <w:proofErr w:type="gramStart"/>
      <w:r w:rsidRPr="00D776B8">
        <w:rPr>
          <w:rFonts w:ascii="Bookman Old Style" w:hAnsi="Bookman Old Style"/>
          <w:sz w:val="20"/>
          <w:szCs w:val="20"/>
        </w:rPr>
        <w:t>B(</w:t>
      </w:r>
      <w:proofErr w:type="gramEnd"/>
      <w:r w:rsidRPr="00D776B8">
        <w:rPr>
          <w:rFonts w:ascii="Bookman Old Style" w:hAnsi="Bookman Old Style"/>
          <w:sz w:val="20"/>
          <w:szCs w:val="20"/>
        </w:rPr>
        <w:t>3) has the effect of overriding this harsh rule [that a warning sign was enough to discharge liability], because that section requires a court to look at 'all the circumstances of the case' in formulating the standard of care. A warning to the entrant may, or may not, on the facts of the particular case, be enough to enable the visitor to be reasonably safe.”</w:t>
      </w:r>
    </w:p>
    <w:p w:rsidR="00E60E5E" w:rsidRPr="00D776B8" w:rsidRDefault="00E60E5E" w:rsidP="00B3618E">
      <w:pPr>
        <w:pStyle w:val="ListParagraph"/>
        <w:spacing w:line="240" w:lineRule="auto"/>
        <w:ind w:left="1440" w:right="522"/>
        <w:jc w:val="both"/>
        <w:rPr>
          <w:rFonts w:ascii="Bookman Old Style" w:hAnsi="Bookman Old Style"/>
          <w:sz w:val="20"/>
          <w:szCs w:val="20"/>
        </w:rPr>
      </w:pPr>
    </w:p>
    <w:p w:rsidR="00DB13E9" w:rsidRDefault="006C6B42" w:rsidP="00B3618E">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 xml:space="preserve">With respect, </w:t>
      </w:r>
      <w:r w:rsidR="00D776B8">
        <w:rPr>
          <w:rFonts w:ascii="Bookman Old Style" w:hAnsi="Bookman Old Style"/>
          <w:sz w:val="24"/>
          <w:szCs w:val="24"/>
        </w:rPr>
        <w:t xml:space="preserve">I agree with the author.  </w:t>
      </w:r>
      <w:r w:rsidR="005D43ED">
        <w:rPr>
          <w:rFonts w:ascii="Bookman Old Style" w:hAnsi="Bookman Old Style"/>
          <w:sz w:val="24"/>
          <w:szCs w:val="24"/>
        </w:rPr>
        <w:t xml:space="preserve">The warning sign should be but one factor in the </w:t>
      </w:r>
      <w:r w:rsidR="00DB13E9">
        <w:rPr>
          <w:rFonts w:ascii="Bookman Old Style" w:hAnsi="Bookman Old Style"/>
          <w:sz w:val="24"/>
          <w:szCs w:val="24"/>
        </w:rPr>
        <w:t>analysis</w:t>
      </w:r>
      <w:r w:rsidR="005D43ED">
        <w:rPr>
          <w:rFonts w:ascii="Bookman Old Style" w:hAnsi="Bookman Old Style"/>
          <w:sz w:val="24"/>
          <w:szCs w:val="24"/>
        </w:rPr>
        <w:t xml:space="preserve"> of discharge under section 14B</w:t>
      </w:r>
      <w:r w:rsidR="00F71C9B">
        <w:rPr>
          <w:rFonts w:ascii="Bookman Old Style" w:hAnsi="Bookman Old Style"/>
          <w:sz w:val="24"/>
          <w:szCs w:val="24"/>
        </w:rPr>
        <w:t xml:space="preserve"> </w:t>
      </w:r>
      <w:r w:rsidR="005D43ED">
        <w:rPr>
          <w:rFonts w:ascii="Bookman Old Style" w:hAnsi="Bookman Old Style"/>
          <w:sz w:val="24"/>
          <w:szCs w:val="24"/>
        </w:rPr>
        <w:t xml:space="preserve">of the </w:t>
      </w:r>
      <w:r w:rsidR="005D43ED">
        <w:rPr>
          <w:rFonts w:ascii="Bookman Old Style" w:hAnsi="Bookman Old Style"/>
          <w:i/>
          <w:sz w:val="24"/>
          <w:szCs w:val="24"/>
        </w:rPr>
        <w:t>Wrongs Act</w:t>
      </w:r>
      <w:r w:rsidR="005D43ED">
        <w:rPr>
          <w:rFonts w:ascii="Bookman Old Style" w:hAnsi="Bookman Old Style"/>
          <w:sz w:val="24"/>
          <w:szCs w:val="24"/>
        </w:rPr>
        <w:t xml:space="preserve">. </w:t>
      </w:r>
      <w:r w:rsidR="00DB13E9">
        <w:rPr>
          <w:rFonts w:ascii="Bookman Old Style" w:hAnsi="Bookman Old Style"/>
          <w:sz w:val="24"/>
          <w:szCs w:val="24"/>
        </w:rPr>
        <w:t xml:space="preserve"> </w:t>
      </w:r>
    </w:p>
    <w:p w:rsidR="0010461C" w:rsidRDefault="006B257E" w:rsidP="00B3618E">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What’s more</w:t>
      </w:r>
      <w:r w:rsidR="00DB13E9">
        <w:rPr>
          <w:rFonts w:ascii="Bookman Old Style" w:hAnsi="Bookman Old Style"/>
          <w:sz w:val="24"/>
          <w:szCs w:val="24"/>
        </w:rPr>
        <w:t xml:space="preserve">, if importance is attached to the warning sign, then it seems to me that what Brennan J said in </w:t>
      </w:r>
      <w:r w:rsidR="006F0248">
        <w:rPr>
          <w:rFonts w:ascii="Bookman Old Style" w:hAnsi="Bookman Old Style"/>
          <w:i/>
          <w:sz w:val="24"/>
          <w:szCs w:val="24"/>
        </w:rPr>
        <w:t>Oceanic</w:t>
      </w:r>
      <w:r w:rsidR="00DB13E9">
        <w:rPr>
          <w:rFonts w:ascii="Bookman Old Style" w:hAnsi="Bookman Old Style"/>
          <w:i/>
          <w:sz w:val="24"/>
          <w:szCs w:val="24"/>
        </w:rPr>
        <w:t xml:space="preserve"> Sun </w:t>
      </w:r>
      <w:r w:rsidR="006F0248">
        <w:rPr>
          <w:rFonts w:ascii="Bookman Old Style" w:hAnsi="Bookman Old Style"/>
          <w:sz w:val="24"/>
          <w:szCs w:val="24"/>
        </w:rPr>
        <w:t xml:space="preserve">is important. </w:t>
      </w:r>
      <w:r w:rsidR="000B0974">
        <w:rPr>
          <w:rFonts w:ascii="Bookman Old Style" w:hAnsi="Bookman Old Style"/>
          <w:sz w:val="24"/>
          <w:szCs w:val="24"/>
        </w:rPr>
        <w:t xml:space="preserve"> </w:t>
      </w:r>
      <w:r w:rsidR="0010461C">
        <w:rPr>
          <w:rFonts w:ascii="Bookman Old Style" w:hAnsi="Bookman Old Style"/>
          <w:sz w:val="24"/>
          <w:szCs w:val="24"/>
        </w:rPr>
        <w:t>Arguably,</w:t>
      </w:r>
      <w:r w:rsidR="000B0974">
        <w:rPr>
          <w:rFonts w:ascii="Bookman Old Style" w:hAnsi="Bookman Old Style"/>
          <w:sz w:val="24"/>
          <w:szCs w:val="24"/>
        </w:rPr>
        <w:t xml:space="preserve"> any warning sign should be brought to the specific attention of the reader for it to limit an occupier’s liability. </w:t>
      </w:r>
    </w:p>
    <w:p w:rsidR="00AC0D81" w:rsidRDefault="00B75B0A" w:rsidP="00B3618E">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 xml:space="preserve">Sections 50 and 56 of the </w:t>
      </w:r>
      <w:r>
        <w:rPr>
          <w:rFonts w:ascii="Bookman Old Style" w:hAnsi="Bookman Old Style"/>
          <w:i/>
          <w:sz w:val="24"/>
          <w:szCs w:val="24"/>
        </w:rPr>
        <w:t xml:space="preserve">Wrongs Act </w:t>
      </w:r>
      <w:r>
        <w:rPr>
          <w:rFonts w:ascii="Bookman Old Style" w:hAnsi="Bookman Old Style"/>
          <w:sz w:val="24"/>
          <w:szCs w:val="24"/>
        </w:rPr>
        <w:t>are also relevant</w:t>
      </w:r>
      <w:r w:rsidR="00DA6A0B">
        <w:rPr>
          <w:rFonts w:ascii="Bookman Old Style" w:hAnsi="Bookman Old Style"/>
          <w:sz w:val="24"/>
          <w:szCs w:val="24"/>
        </w:rPr>
        <w:t xml:space="preserve"> to warning signs. </w:t>
      </w:r>
      <w:r w:rsidR="00AC0D81">
        <w:rPr>
          <w:rFonts w:ascii="Bookman Old Style" w:hAnsi="Bookman Old Style"/>
          <w:sz w:val="24"/>
          <w:szCs w:val="24"/>
        </w:rPr>
        <w:t xml:space="preserve"> </w:t>
      </w:r>
    </w:p>
    <w:p w:rsidR="00B75B0A" w:rsidRDefault="00AC0D81" w:rsidP="00B3618E">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 xml:space="preserve">Section 50 relates to a duty to warn of risk. </w:t>
      </w:r>
      <w:r w:rsidR="00B75B0A">
        <w:rPr>
          <w:rFonts w:ascii="Bookman Old Style" w:hAnsi="Bookman Old Style"/>
          <w:sz w:val="24"/>
          <w:szCs w:val="24"/>
        </w:rPr>
        <w:t xml:space="preserve"> </w:t>
      </w:r>
      <w:r>
        <w:rPr>
          <w:rFonts w:ascii="Bookman Old Style" w:hAnsi="Bookman Old Style"/>
          <w:sz w:val="24"/>
          <w:szCs w:val="24"/>
        </w:rPr>
        <w:t xml:space="preserve"> While usually relevant to medical negligence, there appears no reason it should be limited to such cases. </w:t>
      </w:r>
    </w:p>
    <w:p w:rsidR="0061440C" w:rsidRDefault="00AC0D81" w:rsidP="0061440C">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Section 56 relates to allegations by a plaintiff that a defendant failed to warn, or alternatively give information</w:t>
      </w:r>
      <w:r w:rsidR="00A56989">
        <w:rPr>
          <w:rFonts w:ascii="Bookman Old Style" w:hAnsi="Bookman Old Style"/>
          <w:sz w:val="24"/>
          <w:szCs w:val="24"/>
        </w:rPr>
        <w:t xml:space="preserve"> </w:t>
      </w:r>
      <w:r>
        <w:rPr>
          <w:rFonts w:ascii="Bookman Old Style" w:hAnsi="Bookman Old Style"/>
          <w:sz w:val="24"/>
          <w:szCs w:val="24"/>
        </w:rPr>
        <w:t xml:space="preserve">to, the plaintiff of the risk of harm faced by the plaintiff.  That section provides that the plaintiff has the </w:t>
      </w:r>
      <w:r>
        <w:rPr>
          <w:rFonts w:ascii="Bookman Old Style" w:hAnsi="Bookman Old Style"/>
          <w:sz w:val="24"/>
          <w:szCs w:val="24"/>
        </w:rPr>
        <w:lastRenderedPageBreak/>
        <w:t>burden of proof in establishing that the plaintiff was not aware of the risk</w:t>
      </w:r>
      <w:r w:rsidR="00A56989">
        <w:rPr>
          <w:rFonts w:ascii="Bookman Old Style" w:hAnsi="Bookman Old Style"/>
          <w:sz w:val="24"/>
          <w:szCs w:val="24"/>
        </w:rPr>
        <w:t xml:space="preserve"> or information</w:t>
      </w:r>
      <w:r w:rsidR="000F5E42">
        <w:rPr>
          <w:rFonts w:ascii="Bookman Old Style" w:hAnsi="Bookman Old Style"/>
          <w:sz w:val="24"/>
          <w:szCs w:val="24"/>
        </w:rPr>
        <w:t>.</w:t>
      </w:r>
    </w:p>
    <w:p w:rsidR="0010461C" w:rsidRPr="0061440C" w:rsidRDefault="0010461C" w:rsidP="0061440C">
      <w:pPr>
        <w:spacing w:line="480" w:lineRule="auto"/>
        <w:jc w:val="both"/>
        <w:rPr>
          <w:rFonts w:ascii="Bookman Old Style" w:hAnsi="Bookman Old Style"/>
          <w:sz w:val="24"/>
          <w:szCs w:val="24"/>
        </w:rPr>
      </w:pPr>
      <w:r w:rsidRPr="0061440C">
        <w:rPr>
          <w:rFonts w:ascii="Bookman Old Style" w:hAnsi="Bookman Old Style"/>
          <w:b/>
          <w:sz w:val="24"/>
          <w:szCs w:val="24"/>
        </w:rPr>
        <w:t>THE AUSTRALIAN CONSUMER LAW</w:t>
      </w:r>
    </w:p>
    <w:p w:rsidR="0010461C" w:rsidRDefault="001A2D3A" w:rsidP="0010461C">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 xml:space="preserve">The Australian Consumer Law is found in Schedule 2 of the </w:t>
      </w:r>
      <w:r>
        <w:rPr>
          <w:rFonts w:ascii="Bookman Old Style" w:hAnsi="Bookman Old Style"/>
          <w:i/>
          <w:sz w:val="24"/>
          <w:szCs w:val="24"/>
        </w:rPr>
        <w:t>Competition and Consumer Act 2010 (Cth)</w:t>
      </w:r>
      <w:r w:rsidR="001377FD">
        <w:rPr>
          <w:rFonts w:ascii="Bookman Old Style" w:hAnsi="Bookman Old Style"/>
          <w:i/>
          <w:sz w:val="24"/>
          <w:szCs w:val="24"/>
        </w:rPr>
        <w:t xml:space="preserve"> </w:t>
      </w:r>
      <w:r w:rsidR="001377FD">
        <w:rPr>
          <w:rFonts w:ascii="Bookman Old Style" w:hAnsi="Bookman Old Style"/>
          <w:sz w:val="24"/>
          <w:szCs w:val="24"/>
        </w:rPr>
        <w:t>(‘the CC Act’)</w:t>
      </w:r>
      <w:r>
        <w:rPr>
          <w:rFonts w:ascii="Bookman Old Style" w:hAnsi="Bookman Old Style"/>
          <w:sz w:val="24"/>
          <w:szCs w:val="24"/>
        </w:rPr>
        <w:t xml:space="preserve">. </w:t>
      </w:r>
      <w:r w:rsidR="00FE3F12">
        <w:rPr>
          <w:rFonts w:ascii="Bookman Old Style" w:hAnsi="Bookman Old Style"/>
          <w:sz w:val="24"/>
          <w:szCs w:val="24"/>
        </w:rPr>
        <w:t xml:space="preserve"> </w:t>
      </w:r>
      <w:r w:rsidR="00292C73">
        <w:rPr>
          <w:rFonts w:ascii="Bookman Old Style" w:hAnsi="Bookman Old Style"/>
          <w:sz w:val="24"/>
          <w:szCs w:val="24"/>
        </w:rPr>
        <w:t>The ACL came into force from 1 January 2011</w:t>
      </w:r>
      <w:r w:rsidR="004475F5">
        <w:rPr>
          <w:rStyle w:val="FootnoteReference"/>
          <w:rFonts w:ascii="Bookman Old Style" w:hAnsi="Bookman Old Style"/>
          <w:sz w:val="24"/>
          <w:szCs w:val="24"/>
        </w:rPr>
        <w:footnoteReference w:id="18"/>
      </w:r>
      <w:r w:rsidR="00292C73">
        <w:rPr>
          <w:rFonts w:ascii="Bookman Old Style" w:hAnsi="Bookman Old Style"/>
          <w:sz w:val="24"/>
          <w:szCs w:val="24"/>
        </w:rPr>
        <w:t xml:space="preserve">. </w:t>
      </w:r>
      <w:r w:rsidR="00290711">
        <w:rPr>
          <w:rFonts w:ascii="Bookman Old Style" w:hAnsi="Bookman Old Style"/>
          <w:sz w:val="24"/>
          <w:szCs w:val="24"/>
        </w:rPr>
        <w:t xml:space="preserve"> The preceding </w:t>
      </w:r>
      <w:r w:rsidR="00290711" w:rsidRPr="00290711">
        <w:rPr>
          <w:rFonts w:ascii="Bookman Old Style" w:hAnsi="Bookman Old Style"/>
          <w:i/>
          <w:sz w:val="24"/>
          <w:szCs w:val="24"/>
        </w:rPr>
        <w:t>Trade Practices Act 1974 (Cth)</w:t>
      </w:r>
      <w:r w:rsidR="00290711">
        <w:rPr>
          <w:rFonts w:ascii="Bookman Old Style" w:hAnsi="Bookman Old Style"/>
          <w:i/>
          <w:sz w:val="24"/>
          <w:szCs w:val="24"/>
        </w:rPr>
        <w:t xml:space="preserve"> </w:t>
      </w:r>
      <w:r w:rsidR="00290711">
        <w:rPr>
          <w:rFonts w:ascii="Bookman Old Style" w:hAnsi="Bookman Old Style"/>
          <w:sz w:val="24"/>
          <w:szCs w:val="24"/>
        </w:rPr>
        <w:t xml:space="preserve">and State-based </w:t>
      </w:r>
      <w:r w:rsidR="009C3F96">
        <w:rPr>
          <w:rFonts w:ascii="Bookman Old Style" w:hAnsi="Bookman Old Style"/>
          <w:sz w:val="24"/>
          <w:szCs w:val="24"/>
        </w:rPr>
        <w:t xml:space="preserve">consumer laws are beyond the purview of this paper. </w:t>
      </w:r>
    </w:p>
    <w:p w:rsidR="00864B17" w:rsidRDefault="000F5B84" w:rsidP="0010461C">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The ACL is significant</w:t>
      </w:r>
      <w:r w:rsidR="003E7FC8">
        <w:rPr>
          <w:rFonts w:ascii="Bookman Old Style" w:hAnsi="Bookman Old Style"/>
          <w:sz w:val="24"/>
          <w:szCs w:val="24"/>
        </w:rPr>
        <w:t xml:space="preserve"> to public liability claims</w:t>
      </w:r>
      <w:r>
        <w:rPr>
          <w:rFonts w:ascii="Bookman Old Style" w:hAnsi="Bookman Old Style"/>
          <w:sz w:val="24"/>
          <w:szCs w:val="24"/>
        </w:rPr>
        <w:t xml:space="preserve"> for a number of rea</w:t>
      </w:r>
      <w:r w:rsidR="003E7FC8">
        <w:rPr>
          <w:rFonts w:ascii="Bookman Old Style" w:hAnsi="Bookman Old Style"/>
          <w:sz w:val="24"/>
          <w:szCs w:val="24"/>
        </w:rPr>
        <w:t>s</w:t>
      </w:r>
      <w:r>
        <w:rPr>
          <w:rFonts w:ascii="Bookman Old Style" w:hAnsi="Bookman Old Style"/>
          <w:sz w:val="24"/>
          <w:szCs w:val="24"/>
        </w:rPr>
        <w:t>ons</w:t>
      </w:r>
      <w:r w:rsidR="00864B17">
        <w:rPr>
          <w:rFonts w:ascii="Bookman Old Style" w:hAnsi="Bookman Old Style"/>
          <w:sz w:val="24"/>
          <w:szCs w:val="24"/>
        </w:rPr>
        <w:t>, including:</w:t>
      </w:r>
    </w:p>
    <w:p w:rsidR="00FE3F12" w:rsidRDefault="00FA38A8" w:rsidP="008336FC">
      <w:pPr>
        <w:pStyle w:val="ListParagraph"/>
        <w:numPr>
          <w:ilvl w:val="1"/>
          <w:numId w:val="1"/>
        </w:numPr>
        <w:spacing w:line="480" w:lineRule="auto"/>
        <w:ind w:left="1134" w:hanging="567"/>
        <w:jc w:val="both"/>
        <w:rPr>
          <w:rFonts w:ascii="Bookman Old Style" w:hAnsi="Bookman Old Style"/>
          <w:sz w:val="24"/>
          <w:szCs w:val="24"/>
        </w:rPr>
      </w:pPr>
      <w:r>
        <w:rPr>
          <w:rFonts w:ascii="Bookman Old Style" w:hAnsi="Bookman Old Style"/>
          <w:sz w:val="24"/>
          <w:szCs w:val="24"/>
        </w:rPr>
        <w:t xml:space="preserve">its wide application, </w:t>
      </w:r>
      <w:r w:rsidR="00F768F7">
        <w:rPr>
          <w:rFonts w:ascii="Bookman Old Style" w:hAnsi="Bookman Old Style"/>
          <w:sz w:val="24"/>
          <w:szCs w:val="24"/>
        </w:rPr>
        <w:t xml:space="preserve">no longer limited in its application to corporate entities; </w:t>
      </w:r>
    </w:p>
    <w:p w:rsidR="00F768F7" w:rsidRDefault="0072493A" w:rsidP="008336FC">
      <w:pPr>
        <w:pStyle w:val="ListParagraph"/>
        <w:numPr>
          <w:ilvl w:val="1"/>
          <w:numId w:val="1"/>
        </w:numPr>
        <w:spacing w:line="480" w:lineRule="auto"/>
        <w:ind w:left="1134" w:hanging="567"/>
        <w:jc w:val="both"/>
        <w:rPr>
          <w:rFonts w:ascii="Bookman Old Style" w:hAnsi="Bookman Old Style"/>
          <w:sz w:val="24"/>
          <w:szCs w:val="24"/>
        </w:rPr>
      </w:pPr>
      <w:r>
        <w:rPr>
          <w:rFonts w:ascii="Bookman Old Style" w:hAnsi="Bookman Old Style"/>
          <w:sz w:val="24"/>
          <w:szCs w:val="24"/>
        </w:rPr>
        <w:t xml:space="preserve">its restriction on ‘contracting out’ of consumer protections; </w:t>
      </w:r>
    </w:p>
    <w:p w:rsidR="0072493A" w:rsidRDefault="0072493A" w:rsidP="008336FC">
      <w:pPr>
        <w:pStyle w:val="ListParagraph"/>
        <w:numPr>
          <w:ilvl w:val="1"/>
          <w:numId w:val="1"/>
        </w:numPr>
        <w:spacing w:line="480" w:lineRule="auto"/>
        <w:ind w:left="1134" w:hanging="567"/>
        <w:jc w:val="both"/>
        <w:rPr>
          <w:rFonts w:ascii="Bookman Old Style" w:hAnsi="Bookman Old Style"/>
          <w:sz w:val="24"/>
          <w:szCs w:val="24"/>
        </w:rPr>
      </w:pPr>
      <w:r>
        <w:rPr>
          <w:rFonts w:ascii="Bookman Old Style" w:hAnsi="Bookman Old Style"/>
          <w:sz w:val="24"/>
          <w:szCs w:val="24"/>
        </w:rPr>
        <w:t>the entitlement to damages under the ACL</w:t>
      </w:r>
      <w:r w:rsidR="00EC2412">
        <w:rPr>
          <w:rFonts w:ascii="Bookman Old Style" w:hAnsi="Bookman Old Style"/>
          <w:sz w:val="24"/>
          <w:szCs w:val="24"/>
        </w:rPr>
        <w:t xml:space="preserve">. </w:t>
      </w:r>
    </w:p>
    <w:p w:rsidR="00AF522E" w:rsidRPr="005E00E6" w:rsidRDefault="00AF522E" w:rsidP="00AF522E">
      <w:pPr>
        <w:spacing w:line="480" w:lineRule="auto"/>
        <w:jc w:val="both"/>
        <w:rPr>
          <w:rFonts w:ascii="Bookman Old Style" w:hAnsi="Bookman Old Style"/>
          <w:b/>
          <w:sz w:val="24"/>
          <w:szCs w:val="24"/>
        </w:rPr>
      </w:pPr>
      <w:r w:rsidRPr="005E00E6">
        <w:rPr>
          <w:rFonts w:ascii="Bookman Old Style" w:hAnsi="Bookman Old Style"/>
          <w:b/>
          <w:sz w:val="24"/>
          <w:szCs w:val="24"/>
        </w:rPr>
        <w:t xml:space="preserve">Wide application </w:t>
      </w:r>
    </w:p>
    <w:p w:rsidR="006E72F0" w:rsidRDefault="00EE6520" w:rsidP="00785F02">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 xml:space="preserve">The TPA used only to apply </w:t>
      </w:r>
      <w:r w:rsidR="009921C5">
        <w:rPr>
          <w:rFonts w:ascii="Bookman Old Style" w:hAnsi="Bookman Old Style"/>
          <w:sz w:val="24"/>
          <w:szCs w:val="24"/>
        </w:rPr>
        <w:t>to</w:t>
      </w:r>
      <w:bookmarkStart w:id="2" w:name="_GoBack"/>
      <w:bookmarkEnd w:id="2"/>
      <w:r>
        <w:rPr>
          <w:rFonts w:ascii="Bookman Old Style" w:hAnsi="Bookman Old Style"/>
          <w:sz w:val="24"/>
          <w:szCs w:val="24"/>
        </w:rPr>
        <w:t xml:space="preserve"> corporate entities because the TPA was enacted pursuant to the </w:t>
      </w:r>
      <w:r w:rsidR="00EC7463">
        <w:rPr>
          <w:rFonts w:ascii="Bookman Old Style" w:hAnsi="Bookman Old Style"/>
          <w:sz w:val="24"/>
          <w:szCs w:val="24"/>
        </w:rPr>
        <w:t>corporations’</w:t>
      </w:r>
      <w:r>
        <w:rPr>
          <w:rFonts w:ascii="Bookman Old Style" w:hAnsi="Bookman Old Style"/>
          <w:sz w:val="24"/>
          <w:szCs w:val="24"/>
        </w:rPr>
        <w:t xml:space="preserve"> power granted to the Commonwealth under the </w:t>
      </w:r>
      <w:r w:rsidR="00A3584F">
        <w:rPr>
          <w:rFonts w:ascii="Bookman Old Style" w:hAnsi="Bookman Old Style"/>
          <w:sz w:val="24"/>
          <w:szCs w:val="24"/>
        </w:rPr>
        <w:t>C</w:t>
      </w:r>
      <w:r>
        <w:rPr>
          <w:rFonts w:ascii="Bookman Old Style" w:hAnsi="Bookman Old Style"/>
          <w:sz w:val="24"/>
          <w:szCs w:val="24"/>
        </w:rPr>
        <w:t>onstitution</w:t>
      </w:r>
      <w:r w:rsidR="00EC7463">
        <w:rPr>
          <w:rStyle w:val="FootnoteReference"/>
          <w:rFonts w:ascii="Bookman Old Style" w:hAnsi="Bookman Old Style"/>
          <w:sz w:val="24"/>
          <w:szCs w:val="24"/>
        </w:rPr>
        <w:footnoteReference w:id="19"/>
      </w:r>
      <w:r>
        <w:rPr>
          <w:rFonts w:ascii="Bookman Old Style" w:hAnsi="Bookman Old Style"/>
          <w:sz w:val="24"/>
          <w:szCs w:val="24"/>
        </w:rPr>
        <w:t xml:space="preserve">. </w:t>
      </w:r>
    </w:p>
    <w:p w:rsidR="00EE6520" w:rsidRDefault="00EE6520" w:rsidP="00785F02">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 xml:space="preserve">Thanks to an agreement reached among the States, the ACL now applies to </w:t>
      </w:r>
      <w:r w:rsidR="000C0501">
        <w:rPr>
          <w:rFonts w:ascii="Bookman Old Style" w:hAnsi="Bookman Old Style"/>
          <w:sz w:val="24"/>
          <w:szCs w:val="24"/>
        </w:rPr>
        <w:t xml:space="preserve">people or corporate entities who provide goods and services to consumers. </w:t>
      </w:r>
    </w:p>
    <w:p w:rsidR="000C0501" w:rsidRDefault="004E4AC3" w:rsidP="00785F02">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lastRenderedPageBreak/>
        <w:t>There are obvious cases where the ACL applies</w:t>
      </w:r>
      <w:r w:rsidR="002E3D6E">
        <w:rPr>
          <w:rFonts w:ascii="Bookman Old Style" w:hAnsi="Bookman Old Style"/>
          <w:sz w:val="24"/>
          <w:szCs w:val="24"/>
        </w:rPr>
        <w:t xml:space="preserve"> in public liability claims</w:t>
      </w:r>
      <w:r w:rsidR="00A3584F">
        <w:rPr>
          <w:rFonts w:ascii="Bookman Old Style" w:hAnsi="Bookman Old Style"/>
          <w:sz w:val="24"/>
          <w:szCs w:val="24"/>
        </w:rPr>
        <w:t>, but many other not so obvious cases</w:t>
      </w:r>
      <w:r w:rsidR="00A96DD7">
        <w:rPr>
          <w:rFonts w:ascii="Bookman Old Style" w:hAnsi="Bookman Old Style"/>
          <w:sz w:val="24"/>
          <w:szCs w:val="24"/>
        </w:rPr>
        <w:t xml:space="preserve">.  </w:t>
      </w:r>
    </w:p>
    <w:p w:rsidR="00A96DD7" w:rsidRDefault="00A96DD7" w:rsidP="00785F02">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 xml:space="preserve">A ‘consumer’ is defined </w:t>
      </w:r>
      <w:r w:rsidR="00D142D0">
        <w:rPr>
          <w:rFonts w:ascii="Bookman Old Style" w:hAnsi="Bookman Old Style"/>
          <w:sz w:val="24"/>
          <w:szCs w:val="24"/>
        </w:rPr>
        <w:t xml:space="preserve">in section 3 </w:t>
      </w:r>
      <w:r>
        <w:rPr>
          <w:rFonts w:ascii="Bookman Old Style" w:hAnsi="Bookman Old Style"/>
          <w:sz w:val="24"/>
          <w:szCs w:val="24"/>
        </w:rPr>
        <w:t>as someone who acquires goods</w:t>
      </w:r>
      <w:r w:rsidR="0051153F">
        <w:rPr>
          <w:rFonts w:ascii="Bookman Old Style" w:hAnsi="Bookman Old Style"/>
          <w:sz w:val="24"/>
          <w:szCs w:val="24"/>
        </w:rPr>
        <w:t xml:space="preserve"> or services</w:t>
      </w:r>
      <w:r>
        <w:rPr>
          <w:rFonts w:ascii="Bookman Old Style" w:hAnsi="Bookman Old Style"/>
          <w:sz w:val="24"/>
          <w:szCs w:val="24"/>
        </w:rPr>
        <w:t xml:space="preserve"> that are $40,000 or less or of a kind ordinarily acquired for personal, domestic or household use or consumption. </w:t>
      </w:r>
      <w:r w:rsidR="002E2095">
        <w:rPr>
          <w:rFonts w:ascii="Bookman Old Style" w:hAnsi="Bookman Old Style"/>
          <w:sz w:val="24"/>
          <w:szCs w:val="24"/>
        </w:rPr>
        <w:t xml:space="preserve"> </w:t>
      </w:r>
    </w:p>
    <w:p w:rsidR="0051153F" w:rsidRDefault="00A3584F" w:rsidP="00785F02">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w:t>
      </w:r>
      <w:r w:rsidR="00D142D0">
        <w:rPr>
          <w:rFonts w:ascii="Bookman Old Style" w:hAnsi="Bookman Old Style"/>
          <w:sz w:val="24"/>
          <w:szCs w:val="24"/>
        </w:rPr>
        <w:t>Services</w:t>
      </w:r>
      <w:r>
        <w:rPr>
          <w:rFonts w:ascii="Bookman Old Style" w:hAnsi="Bookman Old Style"/>
          <w:sz w:val="24"/>
          <w:szCs w:val="24"/>
        </w:rPr>
        <w:t>’</w:t>
      </w:r>
      <w:r w:rsidR="00D142D0">
        <w:rPr>
          <w:rFonts w:ascii="Bookman Old Style" w:hAnsi="Bookman Old Style"/>
          <w:sz w:val="24"/>
          <w:szCs w:val="24"/>
        </w:rPr>
        <w:t xml:space="preserve"> is incredibly broadly defined in section 2 to include rights, benefits, privileges or facilities.  </w:t>
      </w:r>
    </w:p>
    <w:p w:rsidR="009E163C" w:rsidRDefault="00B46871" w:rsidP="00785F02">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One could argue, it seems to me, that if someone fell over while walking in a shopping centre</w:t>
      </w:r>
      <w:r w:rsidR="00005311">
        <w:rPr>
          <w:rFonts w:ascii="Bookman Old Style" w:hAnsi="Bookman Old Style"/>
          <w:sz w:val="24"/>
          <w:szCs w:val="24"/>
        </w:rPr>
        <w:t xml:space="preserve"> on their way to purchase clothing</w:t>
      </w:r>
      <w:r>
        <w:rPr>
          <w:rFonts w:ascii="Bookman Old Style" w:hAnsi="Bookman Old Style"/>
          <w:sz w:val="24"/>
          <w:szCs w:val="24"/>
        </w:rPr>
        <w:t>, that the shopping centre provided ‘facilities’ that were for personal, domestic or household use</w:t>
      </w:r>
      <w:r w:rsidR="00A3584F">
        <w:rPr>
          <w:rFonts w:ascii="Bookman Old Style" w:hAnsi="Bookman Old Style"/>
          <w:sz w:val="24"/>
          <w:szCs w:val="24"/>
        </w:rPr>
        <w:t>, thus arguably invoking the ACL provisions</w:t>
      </w:r>
      <w:r w:rsidR="005E00E6">
        <w:rPr>
          <w:rFonts w:ascii="Bookman Old Style" w:hAnsi="Bookman Old Style"/>
          <w:sz w:val="24"/>
          <w:szCs w:val="24"/>
        </w:rPr>
        <w:t xml:space="preserve">. </w:t>
      </w:r>
    </w:p>
    <w:p w:rsidR="005E00E6" w:rsidRPr="005E00E6" w:rsidRDefault="005E00E6" w:rsidP="005E00E6">
      <w:pPr>
        <w:spacing w:line="480" w:lineRule="auto"/>
        <w:jc w:val="both"/>
        <w:rPr>
          <w:rFonts w:ascii="Bookman Old Style" w:hAnsi="Bookman Old Style"/>
          <w:b/>
          <w:sz w:val="24"/>
          <w:szCs w:val="24"/>
        </w:rPr>
      </w:pPr>
      <w:r>
        <w:rPr>
          <w:rFonts w:ascii="Bookman Old Style" w:hAnsi="Bookman Old Style"/>
          <w:b/>
          <w:sz w:val="24"/>
          <w:szCs w:val="24"/>
        </w:rPr>
        <w:t>Contracting out provisions</w:t>
      </w:r>
    </w:p>
    <w:p w:rsidR="005E00E6" w:rsidRDefault="00604B02" w:rsidP="00785F02">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 xml:space="preserve">Section 64 of the ACL provides that any term of </w:t>
      </w:r>
      <w:r w:rsidR="006B42D1">
        <w:rPr>
          <w:rFonts w:ascii="Bookman Old Style" w:hAnsi="Bookman Old Style"/>
          <w:sz w:val="24"/>
          <w:szCs w:val="24"/>
        </w:rPr>
        <w:t>a</w:t>
      </w:r>
      <w:r>
        <w:rPr>
          <w:rFonts w:ascii="Bookman Old Style" w:hAnsi="Bookman Old Style"/>
          <w:sz w:val="24"/>
          <w:szCs w:val="24"/>
        </w:rPr>
        <w:t xml:space="preserve"> contract purporting to contract out of many provisions of the ACL, including guarantees to provide services with due care and skill, </w:t>
      </w:r>
      <w:r w:rsidR="003B190C">
        <w:rPr>
          <w:rFonts w:ascii="Bookman Old Style" w:hAnsi="Bookman Old Style"/>
          <w:sz w:val="24"/>
          <w:szCs w:val="24"/>
        </w:rPr>
        <w:t xml:space="preserve">are void. </w:t>
      </w:r>
    </w:p>
    <w:p w:rsidR="005E705B" w:rsidRDefault="005E705B" w:rsidP="00785F02">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That means that, if a contract contains a waiver</w:t>
      </w:r>
      <w:r w:rsidR="006B42D1">
        <w:rPr>
          <w:rFonts w:ascii="Bookman Old Style" w:hAnsi="Bookman Old Style"/>
          <w:sz w:val="24"/>
          <w:szCs w:val="24"/>
        </w:rPr>
        <w:t xml:space="preserve"> or indemnity clause</w:t>
      </w:r>
      <w:r>
        <w:rPr>
          <w:rFonts w:ascii="Bookman Old Style" w:hAnsi="Bookman Old Style"/>
          <w:sz w:val="24"/>
          <w:szCs w:val="24"/>
        </w:rPr>
        <w:t>, a plaintiff can usefully plead the claim under the ACL as a w</w:t>
      </w:r>
      <w:r w:rsidR="006B42D1">
        <w:rPr>
          <w:rFonts w:ascii="Bookman Old Style" w:hAnsi="Bookman Old Style"/>
          <w:sz w:val="24"/>
          <w:szCs w:val="24"/>
        </w:rPr>
        <w:t>ay around the contractual terms</w:t>
      </w:r>
      <w:r>
        <w:rPr>
          <w:rFonts w:ascii="Bookman Old Style" w:hAnsi="Bookman Old Style"/>
          <w:sz w:val="24"/>
          <w:szCs w:val="24"/>
        </w:rPr>
        <w:t xml:space="preserve">. </w:t>
      </w:r>
    </w:p>
    <w:p w:rsidR="00355654" w:rsidRDefault="00A90CCE" w:rsidP="00785F02">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 xml:space="preserve">There are a few narrow exceptions. </w:t>
      </w:r>
    </w:p>
    <w:p w:rsidR="00A90CCE" w:rsidRDefault="006C49BA" w:rsidP="00785F02">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The first exception relates to ‘recreational services’</w:t>
      </w:r>
      <w:r w:rsidR="001B45E5">
        <w:rPr>
          <w:rFonts w:ascii="Bookman Old Style" w:hAnsi="Bookman Old Style"/>
          <w:sz w:val="24"/>
          <w:szCs w:val="24"/>
        </w:rPr>
        <w:t xml:space="preserve"> under section </w:t>
      </w:r>
      <w:proofErr w:type="spellStart"/>
      <w:r w:rsidR="001B45E5">
        <w:rPr>
          <w:rFonts w:ascii="Bookman Old Style" w:hAnsi="Bookman Old Style"/>
          <w:sz w:val="24"/>
          <w:szCs w:val="24"/>
        </w:rPr>
        <w:t>139A</w:t>
      </w:r>
      <w:proofErr w:type="spellEnd"/>
      <w:r w:rsidR="001B45E5">
        <w:rPr>
          <w:rFonts w:ascii="Bookman Old Style" w:hAnsi="Bookman Old Style"/>
          <w:sz w:val="24"/>
          <w:szCs w:val="24"/>
        </w:rPr>
        <w:t xml:space="preserve"> of the </w:t>
      </w:r>
      <w:r w:rsidR="005D1224">
        <w:rPr>
          <w:rFonts w:ascii="Bookman Old Style" w:hAnsi="Bookman Old Style"/>
          <w:sz w:val="24"/>
          <w:szCs w:val="24"/>
        </w:rPr>
        <w:t xml:space="preserve">CC </w:t>
      </w:r>
      <w:r w:rsidR="001B45E5">
        <w:rPr>
          <w:rFonts w:ascii="Bookman Old Style" w:hAnsi="Bookman Old Style"/>
          <w:sz w:val="24"/>
          <w:szCs w:val="24"/>
        </w:rPr>
        <w:t>A</w:t>
      </w:r>
      <w:r w:rsidR="00C407AD">
        <w:rPr>
          <w:rFonts w:ascii="Bookman Old Style" w:hAnsi="Bookman Old Style"/>
          <w:sz w:val="24"/>
          <w:szCs w:val="24"/>
        </w:rPr>
        <w:t>ct (not Schedule 2)</w:t>
      </w:r>
      <w:r w:rsidR="001B45E5">
        <w:rPr>
          <w:rFonts w:ascii="Bookman Old Style" w:hAnsi="Bookman Old Style"/>
          <w:sz w:val="24"/>
          <w:szCs w:val="24"/>
        </w:rPr>
        <w:t xml:space="preserve">. </w:t>
      </w:r>
      <w:r w:rsidR="00EF5992">
        <w:rPr>
          <w:rFonts w:ascii="Bookman Old Style" w:hAnsi="Bookman Old Style"/>
          <w:sz w:val="24"/>
          <w:szCs w:val="24"/>
        </w:rPr>
        <w:t xml:space="preserve"> The supplier of the recreational services must have been reckless for any contractual terms to be void.  </w:t>
      </w:r>
    </w:p>
    <w:p w:rsidR="00BD0424" w:rsidRDefault="00BD0424" w:rsidP="00785F02">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 xml:space="preserve">But where these clauses often fall foul of the law is that they purport to exclude cover for more than that permitted by section </w:t>
      </w:r>
      <w:proofErr w:type="spellStart"/>
      <w:r>
        <w:rPr>
          <w:rFonts w:ascii="Bookman Old Style" w:hAnsi="Bookman Old Style"/>
          <w:sz w:val="24"/>
          <w:szCs w:val="24"/>
        </w:rPr>
        <w:t>139</w:t>
      </w:r>
      <w:proofErr w:type="gramStart"/>
      <w:r>
        <w:rPr>
          <w:rFonts w:ascii="Bookman Old Style" w:hAnsi="Bookman Old Style"/>
          <w:sz w:val="24"/>
          <w:szCs w:val="24"/>
        </w:rPr>
        <w:t>A</w:t>
      </w:r>
      <w:proofErr w:type="spellEnd"/>
      <w:r>
        <w:rPr>
          <w:rFonts w:ascii="Bookman Old Style" w:hAnsi="Bookman Old Style"/>
          <w:sz w:val="24"/>
          <w:szCs w:val="24"/>
        </w:rPr>
        <w:t>(</w:t>
      </w:r>
      <w:proofErr w:type="gramEnd"/>
      <w:r>
        <w:rPr>
          <w:rFonts w:ascii="Bookman Old Style" w:hAnsi="Bookman Old Style"/>
          <w:sz w:val="24"/>
          <w:szCs w:val="24"/>
        </w:rPr>
        <w:t xml:space="preserve">3) of the </w:t>
      </w:r>
      <w:r w:rsidR="005D1224">
        <w:rPr>
          <w:rFonts w:ascii="Bookman Old Style" w:hAnsi="Bookman Old Style"/>
          <w:sz w:val="24"/>
          <w:szCs w:val="24"/>
        </w:rPr>
        <w:t xml:space="preserve">CC </w:t>
      </w:r>
      <w:r>
        <w:rPr>
          <w:rFonts w:ascii="Bookman Old Style" w:hAnsi="Bookman Old Style"/>
          <w:sz w:val="24"/>
          <w:szCs w:val="24"/>
        </w:rPr>
        <w:lastRenderedPageBreak/>
        <w:t>Act</w:t>
      </w:r>
      <w:r w:rsidR="00B94263">
        <w:rPr>
          <w:rFonts w:ascii="Bookman Old Style" w:hAnsi="Bookman Old Style"/>
          <w:sz w:val="24"/>
          <w:szCs w:val="24"/>
        </w:rPr>
        <w:t xml:space="preserve">.  </w:t>
      </w:r>
      <w:r w:rsidR="00925C26">
        <w:rPr>
          <w:rFonts w:ascii="Bookman Old Style" w:hAnsi="Bookman Old Style"/>
          <w:sz w:val="24"/>
          <w:szCs w:val="24"/>
        </w:rPr>
        <w:t>In two cases where that has occurred, the New South Wales Court of Appeal has held that the contractual waivers were void</w:t>
      </w:r>
      <w:r w:rsidR="007E61D8">
        <w:rPr>
          <w:rStyle w:val="FootnoteReference"/>
          <w:rFonts w:ascii="Bookman Old Style" w:hAnsi="Bookman Old Style"/>
          <w:sz w:val="24"/>
          <w:szCs w:val="24"/>
        </w:rPr>
        <w:footnoteReference w:id="20"/>
      </w:r>
      <w:r w:rsidR="00925C26">
        <w:rPr>
          <w:rFonts w:ascii="Bookman Old Style" w:hAnsi="Bookman Old Style"/>
          <w:sz w:val="24"/>
          <w:szCs w:val="24"/>
        </w:rPr>
        <w:t>.</w:t>
      </w:r>
    </w:p>
    <w:p w:rsidR="004C1D3A" w:rsidRDefault="004C1D3A" w:rsidP="00785F02">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 xml:space="preserve">The second exception is found in section 275 of the ACL. </w:t>
      </w:r>
      <w:r w:rsidR="002E2336">
        <w:rPr>
          <w:rFonts w:ascii="Bookman Old Style" w:hAnsi="Bookman Old Style"/>
          <w:sz w:val="24"/>
          <w:szCs w:val="24"/>
        </w:rPr>
        <w:t xml:space="preserve"> </w:t>
      </w:r>
      <w:r w:rsidR="000635E2">
        <w:rPr>
          <w:rFonts w:ascii="Bookman Old Style" w:hAnsi="Bookman Old Style"/>
          <w:sz w:val="24"/>
          <w:szCs w:val="24"/>
        </w:rPr>
        <w:t xml:space="preserve">That section provides that, if the law of the contract is the law of the State, any provisions limiting liability within the State law will apply to the contract. </w:t>
      </w:r>
    </w:p>
    <w:p w:rsidR="00BD7B82" w:rsidRDefault="00824A81" w:rsidP="00785F02">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 xml:space="preserve">But the State law must explicitly </w:t>
      </w:r>
      <w:r w:rsidR="004C31BC">
        <w:rPr>
          <w:rFonts w:ascii="Bookman Old Style" w:hAnsi="Bookman Old Style"/>
          <w:sz w:val="24"/>
          <w:szCs w:val="24"/>
        </w:rPr>
        <w:t xml:space="preserve">limit or exclude liability </w:t>
      </w:r>
      <w:proofErr w:type="gramStart"/>
      <w:r w:rsidR="004C31BC">
        <w:rPr>
          <w:rFonts w:ascii="Bookman Old Style" w:hAnsi="Bookman Old Style"/>
          <w:sz w:val="24"/>
          <w:szCs w:val="24"/>
        </w:rPr>
        <w:t>so as to</w:t>
      </w:r>
      <w:proofErr w:type="gramEnd"/>
      <w:r w:rsidR="004C31BC">
        <w:rPr>
          <w:rFonts w:ascii="Bookman Old Style" w:hAnsi="Bookman Old Style"/>
          <w:sz w:val="24"/>
          <w:szCs w:val="24"/>
        </w:rPr>
        <w:t xml:space="preserve"> avoid the ACL applying</w:t>
      </w:r>
      <w:r w:rsidR="00F52EF5">
        <w:rPr>
          <w:rStyle w:val="FootnoteReference"/>
          <w:rFonts w:ascii="Bookman Old Style" w:hAnsi="Bookman Old Style"/>
          <w:sz w:val="24"/>
          <w:szCs w:val="24"/>
        </w:rPr>
        <w:footnoteReference w:id="21"/>
      </w:r>
      <w:r w:rsidR="004C31BC">
        <w:rPr>
          <w:rFonts w:ascii="Bookman Old Style" w:hAnsi="Bookman Old Style"/>
          <w:sz w:val="24"/>
          <w:szCs w:val="24"/>
        </w:rPr>
        <w:t xml:space="preserve">. </w:t>
      </w:r>
      <w:r w:rsidR="00DD2B24">
        <w:rPr>
          <w:rFonts w:ascii="Bookman Old Style" w:hAnsi="Bookman Old Style"/>
          <w:sz w:val="24"/>
          <w:szCs w:val="24"/>
        </w:rPr>
        <w:t xml:space="preserve"> </w:t>
      </w:r>
      <w:r w:rsidR="00675E6E">
        <w:rPr>
          <w:rFonts w:ascii="Bookman Old Style" w:hAnsi="Bookman Old Style"/>
          <w:sz w:val="24"/>
          <w:szCs w:val="24"/>
        </w:rPr>
        <w:t xml:space="preserve">Thus, </w:t>
      </w:r>
      <w:r w:rsidR="00237A9A">
        <w:rPr>
          <w:rFonts w:ascii="Bookman Old Style" w:hAnsi="Bookman Old Style"/>
          <w:sz w:val="24"/>
          <w:szCs w:val="24"/>
        </w:rPr>
        <w:t>I would venture to s</w:t>
      </w:r>
      <w:r w:rsidR="006B42D1">
        <w:rPr>
          <w:rFonts w:ascii="Bookman Old Style" w:hAnsi="Bookman Old Style"/>
          <w:sz w:val="24"/>
          <w:szCs w:val="24"/>
        </w:rPr>
        <w:t>uggest</w:t>
      </w:r>
      <w:r w:rsidR="00237A9A">
        <w:rPr>
          <w:rFonts w:ascii="Bookman Old Style" w:hAnsi="Bookman Old Style"/>
          <w:sz w:val="24"/>
          <w:szCs w:val="24"/>
        </w:rPr>
        <w:t xml:space="preserve"> that </w:t>
      </w:r>
      <w:r w:rsidR="003B395E">
        <w:rPr>
          <w:rFonts w:ascii="Bookman Old Style" w:hAnsi="Bookman Old Style"/>
          <w:sz w:val="24"/>
          <w:szCs w:val="24"/>
        </w:rPr>
        <w:t xml:space="preserve">section 46 of the </w:t>
      </w:r>
      <w:r w:rsidR="003B395E">
        <w:rPr>
          <w:rFonts w:ascii="Bookman Old Style" w:hAnsi="Bookman Old Style"/>
          <w:i/>
          <w:sz w:val="24"/>
          <w:szCs w:val="24"/>
        </w:rPr>
        <w:t>Wrongs Act</w:t>
      </w:r>
      <w:r w:rsidR="003B395E">
        <w:rPr>
          <w:rFonts w:ascii="Bookman Old Style" w:hAnsi="Bookman Old Style"/>
          <w:sz w:val="24"/>
          <w:szCs w:val="24"/>
        </w:rPr>
        <w:t xml:space="preserve">, that permits parties to contract out of their obligations under Part X of the </w:t>
      </w:r>
      <w:r w:rsidR="003B395E">
        <w:rPr>
          <w:rFonts w:ascii="Bookman Old Style" w:hAnsi="Bookman Old Style"/>
          <w:i/>
          <w:sz w:val="24"/>
          <w:szCs w:val="24"/>
        </w:rPr>
        <w:t>Wrongs Act</w:t>
      </w:r>
      <w:r w:rsidR="003B395E">
        <w:rPr>
          <w:rFonts w:ascii="Bookman Old Style" w:hAnsi="Bookman Old Style"/>
          <w:sz w:val="24"/>
          <w:szCs w:val="24"/>
        </w:rPr>
        <w:t xml:space="preserve">, would not be enough to engage section 275 of the ACL. </w:t>
      </w:r>
      <w:r w:rsidR="00675E6E">
        <w:rPr>
          <w:rFonts w:ascii="Bookman Old Style" w:hAnsi="Bookman Old Style"/>
          <w:sz w:val="24"/>
          <w:szCs w:val="24"/>
        </w:rPr>
        <w:t xml:space="preserve"> </w:t>
      </w:r>
    </w:p>
    <w:p w:rsidR="00C67DBA" w:rsidRPr="00C67DBA" w:rsidRDefault="00C67DBA" w:rsidP="00C67DBA">
      <w:pPr>
        <w:spacing w:line="480" w:lineRule="auto"/>
        <w:jc w:val="both"/>
        <w:rPr>
          <w:rFonts w:ascii="Bookman Old Style" w:hAnsi="Bookman Old Style"/>
          <w:b/>
          <w:sz w:val="24"/>
          <w:szCs w:val="24"/>
        </w:rPr>
      </w:pPr>
      <w:r>
        <w:rPr>
          <w:rFonts w:ascii="Bookman Old Style" w:hAnsi="Bookman Old Style"/>
          <w:b/>
          <w:sz w:val="24"/>
          <w:szCs w:val="24"/>
        </w:rPr>
        <w:t xml:space="preserve">Damages </w:t>
      </w:r>
    </w:p>
    <w:p w:rsidR="00C67DBA" w:rsidRDefault="008F367A" w:rsidP="00785F02">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 xml:space="preserve">While </w:t>
      </w:r>
      <w:r>
        <w:rPr>
          <w:rFonts w:ascii="Bookman Old Style" w:hAnsi="Bookman Old Style"/>
          <w:i/>
          <w:sz w:val="24"/>
          <w:szCs w:val="24"/>
        </w:rPr>
        <w:t xml:space="preserve">Wrongs Act </w:t>
      </w:r>
      <w:r>
        <w:rPr>
          <w:rFonts w:ascii="Bookman Old Style" w:hAnsi="Bookman Old Style"/>
          <w:sz w:val="24"/>
          <w:szCs w:val="24"/>
        </w:rPr>
        <w:t>thresholds have recently been adjusted</w:t>
      </w:r>
      <w:r w:rsidR="00AC04A8">
        <w:rPr>
          <w:rFonts w:ascii="Bookman Old Style" w:hAnsi="Bookman Old Style"/>
          <w:sz w:val="24"/>
          <w:szCs w:val="24"/>
        </w:rPr>
        <w:t xml:space="preserve">, there will continue to be a raft of injuries that fail to meet the ‘significant injury’ test. </w:t>
      </w:r>
    </w:p>
    <w:p w:rsidR="00AC04A8" w:rsidRDefault="00022E19" w:rsidP="00785F02">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 xml:space="preserve">In </w:t>
      </w:r>
      <w:r w:rsidR="006B42D1">
        <w:rPr>
          <w:rFonts w:ascii="Bookman Old Style" w:hAnsi="Bookman Old Style"/>
          <w:sz w:val="24"/>
          <w:szCs w:val="24"/>
        </w:rPr>
        <w:t>such cases</w:t>
      </w:r>
      <w:r>
        <w:rPr>
          <w:rFonts w:ascii="Bookman Old Style" w:hAnsi="Bookman Old Style"/>
          <w:sz w:val="24"/>
          <w:szCs w:val="24"/>
        </w:rPr>
        <w:t xml:space="preserve">, Part </w:t>
      </w:r>
      <w:proofErr w:type="spellStart"/>
      <w:r>
        <w:rPr>
          <w:rFonts w:ascii="Bookman Old Style" w:hAnsi="Bookman Old Style"/>
          <w:sz w:val="24"/>
          <w:szCs w:val="24"/>
        </w:rPr>
        <w:t>VIB</w:t>
      </w:r>
      <w:proofErr w:type="spellEnd"/>
      <w:r>
        <w:rPr>
          <w:rFonts w:ascii="Bookman Old Style" w:hAnsi="Bookman Old Style"/>
          <w:sz w:val="24"/>
          <w:szCs w:val="24"/>
        </w:rPr>
        <w:t xml:space="preserve"> </w:t>
      </w:r>
      <w:r w:rsidR="00AA06A5">
        <w:rPr>
          <w:rFonts w:ascii="Bookman Old Style" w:hAnsi="Bookman Old Style"/>
          <w:sz w:val="24"/>
          <w:szCs w:val="24"/>
        </w:rPr>
        <w:t xml:space="preserve">of the </w:t>
      </w:r>
      <w:r w:rsidR="005D1224">
        <w:rPr>
          <w:rFonts w:ascii="Bookman Old Style" w:hAnsi="Bookman Old Style"/>
          <w:sz w:val="24"/>
          <w:szCs w:val="24"/>
        </w:rPr>
        <w:t xml:space="preserve">CC </w:t>
      </w:r>
      <w:r w:rsidR="00AA06A5">
        <w:rPr>
          <w:rFonts w:ascii="Bookman Old Style" w:hAnsi="Bookman Old Style"/>
          <w:sz w:val="24"/>
          <w:szCs w:val="24"/>
        </w:rPr>
        <w:t xml:space="preserve">Act </w:t>
      </w:r>
      <w:r>
        <w:rPr>
          <w:rFonts w:ascii="Bookman Old Style" w:hAnsi="Bookman Old Style"/>
          <w:sz w:val="24"/>
          <w:szCs w:val="24"/>
        </w:rPr>
        <w:t xml:space="preserve">may come to the aid of </w:t>
      </w:r>
      <w:r w:rsidR="00AA06A5">
        <w:rPr>
          <w:rFonts w:ascii="Bookman Old Style" w:hAnsi="Bookman Old Style"/>
          <w:sz w:val="24"/>
          <w:szCs w:val="24"/>
        </w:rPr>
        <w:t xml:space="preserve">plaintiffs. </w:t>
      </w:r>
      <w:r w:rsidR="001471F2">
        <w:rPr>
          <w:rFonts w:ascii="Bookman Old Style" w:hAnsi="Bookman Old Style"/>
          <w:sz w:val="24"/>
          <w:szCs w:val="24"/>
        </w:rPr>
        <w:t xml:space="preserve"> </w:t>
      </w:r>
    </w:p>
    <w:p w:rsidR="00412EFC" w:rsidRDefault="00412EFC" w:rsidP="00785F02">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While the ACL provides for compensat</w:t>
      </w:r>
      <w:r w:rsidR="006B42D1">
        <w:rPr>
          <w:rFonts w:ascii="Bookman Old Style" w:hAnsi="Bookman Old Style"/>
          <w:sz w:val="24"/>
          <w:szCs w:val="24"/>
        </w:rPr>
        <w:t>ion orders and damages, section</w:t>
      </w:r>
      <w:r>
        <w:rPr>
          <w:rFonts w:ascii="Bookman Old Style" w:hAnsi="Bookman Old Style"/>
          <w:sz w:val="24"/>
          <w:szCs w:val="24"/>
        </w:rPr>
        <w:t>s</w:t>
      </w:r>
      <w:r w:rsidR="006B42D1">
        <w:rPr>
          <w:rFonts w:ascii="Bookman Old Style" w:hAnsi="Bookman Old Style"/>
          <w:sz w:val="24"/>
          <w:szCs w:val="24"/>
        </w:rPr>
        <w:t xml:space="preserve"> </w:t>
      </w:r>
      <w:proofErr w:type="spellStart"/>
      <w:r>
        <w:rPr>
          <w:rFonts w:ascii="Bookman Old Style" w:hAnsi="Bookman Old Style"/>
          <w:sz w:val="24"/>
          <w:szCs w:val="24"/>
        </w:rPr>
        <w:t>137C</w:t>
      </w:r>
      <w:proofErr w:type="spellEnd"/>
      <w:r>
        <w:rPr>
          <w:rFonts w:ascii="Bookman Old Style" w:hAnsi="Bookman Old Style"/>
          <w:sz w:val="24"/>
          <w:szCs w:val="24"/>
        </w:rPr>
        <w:t xml:space="preserve"> to </w:t>
      </w:r>
      <w:proofErr w:type="spellStart"/>
      <w:r>
        <w:rPr>
          <w:rFonts w:ascii="Bookman Old Style" w:hAnsi="Bookman Old Style"/>
          <w:sz w:val="24"/>
          <w:szCs w:val="24"/>
        </w:rPr>
        <w:t>137E</w:t>
      </w:r>
      <w:proofErr w:type="spellEnd"/>
      <w:r>
        <w:rPr>
          <w:rFonts w:ascii="Bookman Old Style" w:hAnsi="Bookman Old Style"/>
          <w:sz w:val="24"/>
          <w:szCs w:val="24"/>
        </w:rPr>
        <w:t xml:space="preserve"> of the </w:t>
      </w:r>
      <w:r w:rsidR="005D1224">
        <w:rPr>
          <w:rFonts w:ascii="Bookman Old Style" w:hAnsi="Bookman Old Style"/>
          <w:sz w:val="24"/>
          <w:szCs w:val="24"/>
        </w:rPr>
        <w:t xml:space="preserve">CC </w:t>
      </w:r>
      <w:r>
        <w:rPr>
          <w:rFonts w:ascii="Bookman Old Style" w:hAnsi="Bookman Old Style"/>
          <w:sz w:val="24"/>
          <w:szCs w:val="24"/>
        </w:rPr>
        <w:t xml:space="preserve">Act specifically state that, for personal injury claims to which section 236 of the ACL would apply, the Court must apply Part </w:t>
      </w:r>
      <w:proofErr w:type="spellStart"/>
      <w:r>
        <w:rPr>
          <w:rFonts w:ascii="Bookman Old Style" w:hAnsi="Bookman Old Style"/>
          <w:sz w:val="24"/>
          <w:szCs w:val="24"/>
        </w:rPr>
        <w:t>VIB</w:t>
      </w:r>
      <w:proofErr w:type="spellEnd"/>
      <w:r>
        <w:rPr>
          <w:rFonts w:ascii="Bookman Old Style" w:hAnsi="Bookman Old Style"/>
          <w:sz w:val="24"/>
          <w:szCs w:val="24"/>
        </w:rPr>
        <w:t xml:space="preserve"> of the </w:t>
      </w:r>
      <w:r w:rsidR="005D1224">
        <w:rPr>
          <w:rFonts w:ascii="Bookman Old Style" w:hAnsi="Bookman Old Style"/>
          <w:sz w:val="24"/>
          <w:szCs w:val="24"/>
        </w:rPr>
        <w:t xml:space="preserve">CC </w:t>
      </w:r>
      <w:r>
        <w:rPr>
          <w:rFonts w:ascii="Bookman Old Style" w:hAnsi="Bookman Old Style"/>
          <w:sz w:val="24"/>
          <w:szCs w:val="24"/>
        </w:rPr>
        <w:t xml:space="preserve">Act. </w:t>
      </w:r>
    </w:p>
    <w:p w:rsidR="008425B5" w:rsidRDefault="008A630C" w:rsidP="00785F02">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 xml:space="preserve">Part </w:t>
      </w:r>
      <w:proofErr w:type="spellStart"/>
      <w:r>
        <w:rPr>
          <w:rFonts w:ascii="Bookman Old Style" w:hAnsi="Bookman Old Style"/>
          <w:sz w:val="24"/>
          <w:szCs w:val="24"/>
        </w:rPr>
        <w:t>VIB</w:t>
      </w:r>
      <w:proofErr w:type="spellEnd"/>
      <w:r w:rsidR="00004009">
        <w:rPr>
          <w:rFonts w:ascii="Bookman Old Style" w:hAnsi="Bookman Old Style"/>
          <w:sz w:val="24"/>
          <w:szCs w:val="24"/>
        </w:rPr>
        <w:t xml:space="preserve"> appears </w:t>
      </w:r>
      <w:r w:rsidR="00B30E7E">
        <w:rPr>
          <w:rFonts w:ascii="Bookman Old Style" w:hAnsi="Bookman Old Style"/>
          <w:sz w:val="24"/>
          <w:szCs w:val="24"/>
        </w:rPr>
        <w:t xml:space="preserve">to </w:t>
      </w:r>
      <w:r w:rsidR="00004009">
        <w:rPr>
          <w:rFonts w:ascii="Bookman Old Style" w:hAnsi="Bookman Old Style"/>
          <w:sz w:val="24"/>
          <w:szCs w:val="24"/>
        </w:rPr>
        <w:t xml:space="preserve">permit a plaintiff who has successfully sued under the ACL to seek damages in accordance with Part </w:t>
      </w:r>
      <w:proofErr w:type="spellStart"/>
      <w:r w:rsidR="00004009">
        <w:rPr>
          <w:rFonts w:ascii="Bookman Old Style" w:hAnsi="Bookman Old Style"/>
          <w:sz w:val="24"/>
          <w:szCs w:val="24"/>
        </w:rPr>
        <w:t>VIB</w:t>
      </w:r>
      <w:proofErr w:type="spellEnd"/>
      <w:r w:rsidR="00640D19">
        <w:rPr>
          <w:rFonts w:ascii="Bookman Old Style" w:hAnsi="Bookman Old Style"/>
          <w:sz w:val="24"/>
          <w:szCs w:val="24"/>
        </w:rPr>
        <w:t>, regardless of the State provisions limiting damages</w:t>
      </w:r>
      <w:r w:rsidR="00DD2828">
        <w:rPr>
          <w:rFonts w:ascii="Bookman Old Style" w:hAnsi="Bookman Old Style"/>
          <w:sz w:val="24"/>
          <w:szCs w:val="24"/>
        </w:rPr>
        <w:t xml:space="preserve">, subject to the contracting out </w:t>
      </w:r>
      <w:r w:rsidR="00DD2828">
        <w:rPr>
          <w:rFonts w:ascii="Bookman Old Style" w:hAnsi="Bookman Old Style"/>
          <w:sz w:val="24"/>
          <w:szCs w:val="24"/>
        </w:rPr>
        <w:lastRenderedPageBreak/>
        <w:t xml:space="preserve">provisions in </w:t>
      </w:r>
      <w:r w:rsidR="00F66B9C">
        <w:rPr>
          <w:rFonts w:ascii="Bookman Old Style" w:hAnsi="Bookman Old Style"/>
          <w:sz w:val="24"/>
          <w:szCs w:val="24"/>
        </w:rPr>
        <w:t xml:space="preserve">section </w:t>
      </w:r>
      <w:proofErr w:type="spellStart"/>
      <w:r w:rsidR="00F66B9C">
        <w:rPr>
          <w:rFonts w:ascii="Bookman Old Style" w:hAnsi="Bookman Old Style"/>
          <w:sz w:val="24"/>
          <w:szCs w:val="24"/>
        </w:rPr>
        <w:t>139A</w:t>
      </w:r>
      <w:proofErr w:type="spellEnd"/>
      <w:r w:rsidR="00F66B9C">
        <w:rPr>
          <w:rFonts w:ascii="Bookman Old Style" w:hAnsi="Bookman Old Style"/>
          <w:sz w:val="24"/>
          <w:szCs w:val="24"/>
        </w:rPr>
        <w:t xml:space="preserve"> of the CC Act or section 275 of the ACL discussed above</w:t>
      </w:r>
      <w:r w:rsidR="00004009">
        <w:rPr>
          <w:rFonts w:ascii="Bookman Old Style" w:hAnsi="Bookman Old Style"/>
          <w:sz w:val="24"/>
          <w:szCs w:val="24"/>
        </w:rPr>
        <w:t xml:space="preserve">. </w:t>
      </w:r>
    </w:p>
    <w:p w:rsidR="0008635D" w:rsidRDefault="0008635D" w:rsidP="00785F02">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Where damages are available both under relevant State law and under the ACL, the NSW Court of Appeal has held that the plaintiff may make an election, selecting the Act more favourable to the plaintiff</w:t>
      </w:r>
      <w:r w:rsidR="002343B4">
        <w:rPr>
          <w:rStyle w:val="FootnoteReference"/>
          <w:rFonts w:ascii="Bookman Old Style" w:hAnsi="Bookman Old Style"/>
          <w:sz w:val="24"/>
          <w:szCs w:val="24"/>
        </w:rPr>
        <w:footnoteReference w:id="22"/>
      </w:r>
      <w:r>
        <w:rPr>
          <w:rFonts w:ascii="Bookman Old Style" w:hAnsi="Bookman Old Style"/>
          <w:sz w:val="24"/>
          <w:szCs w:val="24"/>
        </w:rPr>
        <w:t xml:space="preserve">. </w:t>
      </w:r>
    </w:p>
    <w:p w:rsidR="00004009" w:rsidRDefault="00004009" w:rsidP="00785F02">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 xml:space="preserve">Section </w:t>
      </w:r>
      <w:proofErr w:type="spellStart"/>
      <w:r>
        <w:rPr>
          <w:rFonts w:ascii="Bookman Old Style" w:hAnsi="Bookman Old Style"/>
          <w:sz w:val="24"/>
          <w:szCs w:val="24"/>
        </w:rPr>
        <w:t>87R</w:t>
      </w:r>
      <w:proofErr w:type="spellEnd"/>
      <w:r>
        <w:rPr>
          <w:rFonts w:ascii="Bookman Old Style" w:hAnsi="Bookman Old Style"/>
          <w:sz w:val="24"/>
          <w:szCs w:val="24"/>
        </w:rPr>
        <w:t xml:space="preserve"> of the </w:t>
      </w:r>
      <w:r w:rsidR="005D1224">
        <w:rPr>
          <w:rFonts w:ascii="Bookman Old Style" w:hAnsi="Bookman Old Style"/>
          <w:sz w:val="24"/>
          <w:szCs w:val="24"/>
        </w:rPr>
        <w:t xml:space="preserve">CC </w:t>
      </w:r>
      <w:r>
        <w:rPr>
          <w:rFonts w:ascii="Bookman Old Style" w:hAnsi="Bookman Old Style"/>
          <w:sz w:val="24"/>
          <w:szCs w:val="24"/>
        </w:rPr>
        <w:t>Act</w:t>
      </w:r>
      <w:r w:rsidR="00E32B5F">
        <w:rPr>
          <w:rFonts w:ascii="Bookman Old Style" w:hAnsi="Bookman Old Style"/>
          <w:sz w:val="24"/>
          <w:szCs w:val="24"/>
        </w:rPr>
        <w:t xml:space="preserve"> provides that plaintiffs are entitled to damages for non-economic loss (general damages) if they are assessed between at least 15% of the most extreme case</w:t>
      </w:r>
      <w:r w:rsidR="00BF761F">
        <w:rPr>
          <w:rFonts w:ascii="Bookman Old Style" w:hAnsi="Bookman Old Style"/>
          <w:sz w:val="24"/>
          <w:szCs w:val="24"/>
        </w:rPr>
        <w:t>, as assessed by the Court</w:t>
      </w:r>
      <w:r w:rsidR="00B0142D">
        <w:rPr>
          <w:rFonts w:ascii="Bookman Old Style" w:hAnsi="Bookman Old Style"/>
          <w:sz w:val="24"/>
          <w:szCs w:val="24"/>
        </w:rPr>
        <w:t xml:space="preserve">. </w:t>
      </w:r>
      <w:r w:rsidR="004B4D35">
        <w:rPr>
          <w:rFonts w:ascii="Bookman Old Style" w:hAnsi="Bookman Old Style"/>
          <w:sz w:val="24"/>
          <w:szCs w:val="24"/>
        </w:rPr>
        <w:t xml:space="preserve"> </w:t>
      </w:r>
      <w:r w:rsidR="0038081F">
        <w:rPr>
          <w:rFonts w:ascii="Bookman Old Style" w:hAnsi="Bookman Old Style"/>
          <w:sz w:val="24"/>
          <w:szCs w:val="24"/>
        </w:rPr>
        <w:t xml:space="preserve">Judges in NSW follow a similar approach to assessing general damages at trial, with a quadriplegic injury usually regarded as the most extreme case. </w:t>
      </w:r>
    </w:p>
    <w:p w:rsidR="0010461C" w:rsidRDefault="003042A1" w:rsidP="006C6B42">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 xml:space="preserve">I am yet to see a case in this State have damages assessed under Part </w:t>
      </w:r>
      <w:proofErr w:type="spellStart"/>
      <w:r>
        <w:rPr>
          <w:rFonts w:ascii="Bookman Old Style" w:hAnsi="Bookman Old Style"/>
          <w:sz w:val="24"/>
          <w:szCs w:val="24"/>
        </w:rPr>
        <w:t>VIB</w:t>
      </w:r>
      <w:proofErr w:type="spellEnd"/>
      <w:r>
        <w:rPr>
          <w:rFonts w:ascii="Bookman Old Style" w:hAnsi="Bookman Old Style"/>
          <w:sz w:val="24"/>
          <w:szCs w:val="24"/>
        </w:rPr>
        <w:t xml:space="preserve"> of the </w:t>
      </w:r>
      <w:r w:rsidR="005D1224">
        <w:rPr>
          <w:rFonts w:ascii="Bookman Old Style" w:hAnsi="Bookman Old Style"/>
          <w:sz w:val="24"/>
          <w:szCs w:val="24"/>
        </w:rPr>
        <w:t xml:space="preserve">CC </w:t>
      </w:r>
      <w:r w:rsidR="00C73476">
        <w:rPr>
          <w:rFonts w:ascii="Bookman Old Style" w:hAnsi="Bookman Old Style"/>
          <w:sz w:val="24"/>
          <w:szCs w:val="24"/>
        </w:rPr>
        <w:t>Act, but this Part could have significant implication for ‘smaller’ public liability claims</w:t>
      </w:r>
      <w:r>
        <w:rPr>
          <w:rFonts w:ascii="Bookman Old Style" w:hAnsi="Bookman Old Style"/>
          <w:sz w:val="24"/>
          <w:szCs w:val="24"/>
        </w:rPr>
        <w:t xml:space="preserve">. </w:t>
      </w:r>
    </w:p>
    <w:p w:rsidR="00084FFA" w:rsidRPr="00084FFA" w:rsidRDefault="00084FFA" w:rsidP="00084FFA">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 xml:space="preserve">I should also point out that Part </w:t>
      </w:r>
      <w:proofErr w:type="spellStart"/>
      <w:r>
        <w:rPr>
          <w:rFonts w:ascii="Bookman Old Style" w:hAnsi="Bookman Old Style"/>
          <w:sz w:val="24"/>
          <w:szCs w:val="24"/>
        </w:rPr>
        <w:t>VIB</w:t>
      </w:r>
      <w:proofErr w:type="spellEnd"/>
      <w:r>
        <w:rPr>
          <w:rFonts w:ascii="Bookman Old Style" w:hAnsi="Bookman Old Style"/>
          <w:sz w:val="24"/>
          <w:szCs w:val="24"/>
        </w:rPr>
        <w:t xml:space="preserve"> of the CC Act provides a </w:t>
      </w:r>
      <w:proofErr w:type="gramStart"/>
      <w:r>
        <w:rPr>
          <w:rFonts w:ascii="Bookman Old Style" w:hAnsi="Bookman Old Style"/>
          <w:sz w:val="24"/>
          <w:szCs w:val="24"/>
        </w:rPr>
        <w:t>three year</w:t>
      </w:r>
      <w:proofErr w:type="gramEnd"/>
      <w:r>
        <w:rPr>
          <w:rFonts w:ascii="Bookman Old Style" w:hAnsi="Bookman Old Style"/>
          <w:sz w:val="24"/>
          <w:szCs w:val="24"/>
        </w:rPr>
        <w:t xml:space="preserve"> limitation period </w:t>
      </w:r>
      <w:r w:rsidR="00B04086">
        <w:rPr>
          <w:rFonts w:ascii="Bookman Old Style" w:hAnsi="Bookman Old Style"/>
          <w:sz w:val="24"/>
          <w:szCs w:val="24"/>
        </w:rPr>
        <w:t>for</w:t>
      </w:r>
      <w:r>
        <w:rPr>
          <w:rFonts w:ascii="Bookman Old Style" w:hAnsi="Bookman Old Style"/>
          <w:sz w:val="24"/>
          <w:szCs w:val="24"/>
        </w:rPr>
        <w:t xml:space="preserve"> </w:t>
      </w:r>
      <w:r w:rsidR="002D0D63">
        <w:rPr>
          <w:rFonts w:ascii="Bookman Old Style" w:hAnsi="Bookman Old Style"/>
          <w:sz w:val="24"/>
          <w:szCs w:val="24"/>
        </w:rPr>
        <w:t xml:space="preserve">personal injury </w:t>
      </w:r>
      <w:r>
        <w:rPr>
          <w:rFonts w:ascii="Bookman Old Style" w:hAnsi="Bookman Old Style"/>
          <w:sz w:val="24"/>
          <w:szCs w:val="24"/>
        </w:rPr>
        <w:t>claims</w:t>
      </w:r>
      <w:r w:rsidR="00520739">
        <w:rPr>
          <w:rFonts w:ascii="Bookman Old Style" w:hAnsi="Bookman Old Style"/>
          <w:sz w:val="24"/>
          <w:szCs w:val="24"/>
        </w:rPr>
        <w:t xml:space="preserve"> brought under the ACL</w:t>
      </w:r>
      <w:r>
        <w:rPr>
          <w:rStyle w:val="FootnoteReference"/>
          <w:rFonts w:ascii="Bookman Old Style" w:hAnsi="Bookman Old Style"/>
          <w:sz w:val="24"/>
          <w:szCs w:val="24"/>
        </w:rPr>
        <w:footnoteReference w:id="23"/>
      </w:r>
      <w:r>
        <w:rPr>
          <w:rFonts w:ascii="Bookman Old Style" w:hAnsi="Bookman Old Style"/>
          <w:sz w:val="24"/>
          <w:szCs w:val="24"/>
        </w:rPr>
        <w:t xml:space="preserve">. </w:t>
      </w:r>
    </w:p>
    <w:p w:rsidR="00520739" w:rsidRDefault="00520739">
      <w:pPr>
        <w:rPr>
          <w:rFonts w:ascii="Bookman Old Style" w:hAnsi="Bookman Old Style"/>
          <w:b/>
          <w:sz w:val="24"/>
          <w:szCs w:val="24"/>
        </w:rPr>
      </w:pPr>
      <w:r>
        <w:rPr>
          <w:rFonts w:ascii="Bookman Old Style" w:hAnsi="Bookman Old Style"/>
          <w:b/>
          <w:sz w:val="24"/>
          <w:szCs w:val="24"/>
        </w:rPr>
        <w:br w:type="page"/>
      </w:r>
    </w:p>
    <w:p w:rsidR="005D1224" w:rsidRPr="005D1224" w:rsidRDefault="005D1224" w:rsidP="005D1224">
      <w:pPr>
        <w:spacing w:line="480" w:lineRule="auto"/>
        <w:jc w:val="both"/>
        <w:rPr>
          <w:rFonts w:ascii="Bookman Old Style" w:hAnsi="Bookman Old Style"/>
          <w:b/>
          <w:sz w:val="24"/>
          <w:szCs w:val="24"/>
        </w:rPr>
      </w:pPr>
      <w:r>
        <w:rPr>
          <w:rFonts w:ascii="Bookman Old Style" w:hAnsi="Bookman Old Style"/>
          <w:b/>
          <w:sz w:val="24"/>
          <w:szCs w:val="24"/>
        </w:rPr>
        <w:lastRenderedPageBreak/>
        <w:t xml:space="preserve">TAKE HOME POINTS </w:t>
      </w:r>
    </w:p>
    <w:p w:rsidR="005D1224" w:rsidRDefault="00A80BE7" w:rsidP="006C6B42">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 xml:space="preserve">Like Captain Cook on his </w:t>
      </w:r>
      <w:r w:rsidR="00E34559">
        <w:rPr>
          <w:rFonts w:ascii="Bookman Old Style" w:hAnsi="Bookman Old Style"/>
          <w:sz w:val="24"/>
          <w:szCs w:val="24"/>
        </w:rPr>
        <w:t>voyages</w:t>
      </w:r>
      <w:r>
        <w:rPr>
          <w:rFonts w:ascii="Bookman Old Style" w:hAnsi="Bookman Old Style"/>
          <w:sz w:val="24"/>
          <w:szCs w:val="24"/>
        </w:rPr>
        <w:t xml:space="preserve"> to find </w:t>
      </w:r>
      <w:r w:rsidR="00EC7463">
        <w:rPr>
          <w:rFonts w:ascii="Bookman Old Style" w:hAnsi="Bookman Old Style"/>
          <w:sz w:val="24"/>
          <w:szCs w:val="24"/>
        </w:rPr>
        <w:t>‘</w:t>
      </w:r>
      <w:r>
        <w:rPr>
          <w:rFonts w:ascii="Bookman Old Style" w:hAnsi="Bookman Old Style"/>
          <w:sz w:val="24"/>
          <w:szCs w:val="24"/>
        </w:rPr>
        <w:t>new</w:t>
      </w:r>
      <w:r w:rsidR="00EC7463">
        <w:rPr>
          <w:rFonts w:ascii="Bookman Old Style" w:hAnsi="Bookman Old Style"/>
          <w:sz w:val="24"/>
          <w:szCs w:val="24"/>
        </w:rPr>
        <w:t>’</w:t>
      </w:r>
      <w:r>
        <w:rPr>
          <w:rFonts w:ascii="Bookman Old Style" w:hAnsi="Bookman Old Style"/>
          <w:sz w:val="24"/>
          <w:szCs w:val="24"/>
        </w:rPr>
        <w:t xml:space="preserve"> lands, </w:t>
      </w:r>
      <w:r w:rsidR="004304B9">
        <w:rPr>
          <w:rFonts w:ascii="Bookman Old Style" w:hAnsi="Bookman Old Style"/>
          <w:sz w:val="24"/>
          <w:szCs w:val="24"/>
        </w:rPr>
        <w:t xml:space="preserve">the lawyer in all of us can venture to </w:t>
      </w:r>
      <w:r w:rsidR="007F397D">
        <w:rPr>
          <w:rFonts w:ascii="Bookman Old Style" w:hAnsi="Bookman Old Style"/>
          <w:sz w:val="24"/>
          <w:szCs w:val="24"/>
        </w:rPr>
        <w:t xml:space="preserve">find untouched </w:t>
      </w:r>
      <w:r w:rsidR="00BA2436">
        <w:rPr>
          <w:rFonts w:ascii="Bookman Old Style" w:hAnsi="Bookman Old Style"/>
          <w:sz w:val="24"/>
          <w:szCs w:val="24"/>
        </w:rPr>
        <w:t>areas of law</w:t>
      </w:r>
      <w:r w:rsidR="00C15FB6">
        <w:rPr>
          <w:rFonts w:ascii="Bookman Old Style" w:hAnsi="Bookman Old Style"/>
          <w:sz w:val="24"/>
          <w:szCs w:val="24"/>
        </w:rPr>
        <w:t xml:space="preserve">. </w:t>
      </w:r>
    </w:p>
    <w:p w:rsidR="00EA0D8F" w:rsidRDefault="00A67A79" w:rsidP="006C6B42">
      <w:pPr>
        <w:pStyle w:val="ListParagraph"/>
        <w:numPr>
          <w:ilvl w:val="0"/>
          <w:numId w:val="1"/>
        </w:numPr>
        <w:spacing w:line="480" w:lineRule="auto"/>
        <w:ind w:left="567" w:hanging="567"/>
        <w:jc w:val="both"/>
        <w:rPr>
          <w:rFonts w:ascii="Bookman Old Style" w:hAnsi="Bookman Old Style"/>
          <w:sz w:val="24"/>
          <w:szCs w:val="24"/>
        </w:rPr>
      </w:pPr>
      <w:r>
        <w:rPr>
          <w:rFonts w:ascii="Bookman Old Style" w:hAnsi="Bookman Old Style"/>
          <w:sz w:val="24"/>
          <w:szCs w:val="24"/>
        </w:rPr>
        <w:t>When a public liabili</w:t>
      </w:r>
      <w:r w:rsidR="0066403C">
        <w:rPr>
          <w:rFonts w:ascii="Bookman Old Style" w:hAnsi="Bookman Old Style"/>
          <w:sz w:val="24"/>
          <w:szCs w:val="24"/>
        </w:rPr>
        <w:t>ty claim comes across your desk</w:t>
      </w:r>
      <w:r w:rsidR="00FD4614">
        <w:rPr>
          <w:rFonts w:ascii="Bookman Old Style" w:hAnsi="Bookman Old Style"/>
          <w:sz w:val="24"/>
          <w:szCs w:val="24"/>
        </w:rPr>
        <w:t>:</w:t>
      </w:r>
    </w:p>
    <w:p w:rsidR="00581073" w:rsidRPr="0066403C" w:rsidRDefault="0066403C" w:rsidP="0066403C">
      <w:pPr>
        <w:pStyle w:val="ListParagraph"/>
        <w:numPr>
          <w:ilvl w:val="1"/>
          <w:numId w:val="1"/>
        </w:numPr>
        <w:spacing w:line="480" w:lineRule="auto"/>
        <w:ind w:left="1134" w:hanging="567"/>
        <w:jc w:val="both"/>
        <w:rPr>
          <w:rFonts w:ascii="Bookman Old Style" w:hAnsi="Bookman Old Style"/>
          <w:sz w:val="24"/>
          <w:szCs w:val="24"/>
        </w:rPr>
      </w:pPr>
      <w:r>
        <w:rPr>
          <w:rFonts w:ascii="Bookman Old Style" w:hAnsi="Bookman Old Style"/>
          <w:sz w:val="24"/>
          <w:szCs w:val="24"/>
        </w:rPr>
        <w:t>t</w:t>
      </w:r>
      <w:r w:rsidR="0019513F" w:rsidRPr="0066403C">
        <w:rPr>
          <w:rFonts w:ascii="Bookman Old Style" w:hAnsi="Bookman Old Style"/>
          <w:sz w:val="24"/>
          <w:szCs w:val="24"/>
        </w:rPr>
        <w:t>hink about the control test to see whether occupation applies</w:t>
      </w:r>
      <w:r>
        <w:rPr>
          <w:rFonts w:ascii="Bookman Old Style" w:hAnsi="Bookman Old Style"/>
          <w:sz w:val="24"/>
          <w:szCs w:val="24"/>
        </w:rPr>
        <w:t>;</w:t>
      </w:r>
    </w:p>
    <w:p w:rsidR="00581073" w:rsidRPr="0066403C" w:rsidRDefault="0066403C" w:rsidP="0066403C">
      <w:pPr>
        <w:pStyle w:val="ListParagraph"/>
        <w:numPr>
          <w:ilvl w:val="1"/>
          <w:numId w:val="1"/>
        </w:numPr>
        <w:spacing w:line="480" w:lineRule="auto"/>
        <w:ind w:left="1134" w:hanging="567"/>
        <w:jc w:val="both"/>
        <w:rPr>
          <w:rFonts w:ascii="Bookman Old Style" w:hAnsi="Bookman Old Style"/>
          <w:sz w:val="24"/>
          <w:szCs w:val="24"/>
        </w:rPr>
      </w:pPr>
      <w:r>
        <w:rPr>
          <w:rFonts w:ascii="Bookman Old Style" w:hAnsi="Bookman Old Style"/>
          <w:sz w:val="24"/>
          <w:szCs w:val="24"/>
        </w:rPr>
        <w:t>r</w:t>
      </w:r>
      <w:r w:rsidR="0019513F" w:rsidRPr="0066403C">
        <w:rPr>
          <w:rFonts w:ascii="Bookman Old Style" w:hAnsi="Bookman Old Style"/>
          <w:sz w:val="24"/>
          <w:szCs w:val="24"/>
        </w:rPr>
        <w:t>emember there can be multiple occupiers</w:t>
      </w:r>
      <w:r>
        <w:rPr>
          <w:rFonts w:ascii="Bookman Old Style" w:hAnsi="Bookman Old Style"/>
          <w:sz w:val="24"/>
          <w:szCs w:val="24"/>
        </w:rPr>
        <w:t>;</w:t>
      </w:r>
    </w:p>
    <w:p w:rsidR="0081699C" w:rsidRDefault="0066403C" w:rsidP="0066403C">
      <w:pPr>
        <w:pStyle w:val="ListParagraph"/>
        <w:numPr>
          <w:ilvl w:val="1"/>
          <w:numId w:val="1"/>
        </w:numPr>
        <w:spacing w:line="480" w:lineRule="auto"/>
        <w:ind w:left="1134" w:hanging="567"/>
        <w:jc w:val="both"/>
        <w:rPr>
          <w:rFonts w:ascii="Bookman Old Style" w:hAnsi="Bookman Old Style"/>
          <w:sz w:val="24"/>
          <w:szCs w:val="24"/>
        </w:rPr>
      </w:pPr>
      <w:r>
        <w:rPr>
          <w:rFonts w:ascii="Bookman Old Style" w:hAnsi="Bookman Old Style"/>
          <w:sz w:val="24"/>
          <w:szCs w:val="24"/>
        </w:rPr>
        <w:t xml:space="preserve">ask, </w:t>
      </w:r>
    </w:p>
    <w:p w:rsidR="00581073" w:rsidRPr="0066403C" w:rsidRDefault="0066403C" w:rsidP="0081699C">
      <w:pPr>
        <w:pStyle w:val="ListParagraph"/>
        <w:numPr>
          <w:ilvl w:val="2"/>
          <w:numId w:val="1"/>
        </w:numPr>
        <w:spacing w:line="480" w:lineRule="auto"/>
        <w:ind w:left="1418" w:hanging="284"/>
        <w:jc w:val="both"/>
        <w:rPr>
          <w:rFonts w:ascii="Bookman Old Style" w:hAnsi="Bookman Old Style"/>
          <w:sz w:val="24"/>
          <w:szCs w:val="24"/>
        </w:rPr>
      </w:pPr>
      <w:r>
        <w:rPr>
          <w:rFonts w:ascii="Bookman Old Style" w:hAnsi="Bookman Old Style"/>
          <w:sz w:val="24"/>
          <w:szCs w:val="24"/>
        </w:rPr>
        <w:t>h</w:t>
      </w:r>
      <w:r w:rsidR="0019513F" w:rsidRPr="0066403C">
        <w:rPr>
          <w:rFonts w:ascii="Bookman Old Style" w:hAnsi="Bookman Old Style"/>
          <w:sz w:val="24"/>
          <w:szCs w:val="24"/>
        </w:rPr>
        <w:t>as an occupier discharged its obligations</w:t>
      </w:r>
      <w:r>
        <w:rPr>
          <w:rFonts w:ascii="Bookman Old Style" w:hAnsi="Bookman Old Style"/>
          <w:sz w:val="24"/>
          <w:szCs w:val="24"/>
        </w:rPr>
        <w:t>?</w:t>
      </w:r>
    </w:p>
    <w:p w:rsidR="00581073" w:rsidRPr="0066403C" w:rsidRDefault="0081699C" w:rsidP="0081699C">
      <w:pPr>
        <w:pStyle w:val="ListParagraph"/>
        <w:numPr>
          <w:ilvl w:val="2"/>
          <w:numId w:val="1"/>
        </w:numPr>
        <w:spacing w:line="480" w:lineRule="auto"/>
        <w:ind w:left="1418" w:hanging="284"/>
        <w:jc w:val="both"/>
        <w:rPr>
          <w:rFonts w:ascii="Bookman Old Style" w:hAnsi="Bookman Old Style"/>
          <w:sz w:val="24"/>
          <w:szCs w:val="24"/>
        </w:rPr>
      </w:pPr>
      <w:r>
        <w:rPr>
          <w:rFonts w:ascii="Bookman Old Style" w:hAnsi="Bookman Old Style"/>
          <w:sz w:val="24"/>
          <w:szCs w:val="24"/>
        </w:rPr>
        <w:t>d</w:t>
      </w:r>
      <w:r w:rsidR="0019513F" w:rsidRPr="0066403C">
        <w:rPr>
          <w:rFonts w:ascii="Bookman Old Style" w:hAnsi="Bookman Old Style"/>
          <w:sz w:val="24"/>
          <w:szCs w:val="24"/>
        </w:rPr>
        <w:t xml:space="preserve">oes Part </w:t>
      </w:r>
      <w:proofErr w:type="spellStart"/>
      <w:r w:rsidR="0019513F" w:rsidRPr="0066403C">
        <w:rPr>
          <w:rFonts w:ascii="Bookman Old Style" w:hAnsi="Bookman Old Style"/>
          <w:sz w:val="24"/>
          <w:szCs w:val="24"/>
        </w:rPr>
        <w:t>IIA</w:t>
      </w:r>
      <w:proofErr w:type="spellEnd"/>
      <w:r w:rsidR="0019513F" w:rsidRPr="0066403C">
        <w:rPr>
          <w:rFonts w:ascii="Bookman Old Style" w:hAnsi="Bookman Old Style"/>
          <w:sz w:val="24"/>
          <w:szCs w:val="24"/>
        </w:rPr>
        <w:t xml:space="preserve"> </w:t>
      </w:r>
      <w:r w:rsidR="0066403C">
        <w:rPr>
          <w:rFonts w:ascii="Bookman Old Style" w:hAnsi="Bookman Old Style"/>
          <w:sz w:val="24"/>
          <w:szCs w:val="24"/>
        </w:rPr>
        <w:t xml:space="preserve">of the </w:t>
      </w:r>
      <w:r w:rsidR="0066403C">
        <w:rPr>
          <w:rFonts w:ascii="Bookman Old Style" w:hAnsi="Bookman Old Style"/>
          <w:i/>
          <w:sz w:val="24"/>
          <w:szCs w:val="24"/>
        </w:rPr>
        <w:t xml:space="preserve">Wrongs Act </w:t>
      </w:r>
      <w:r w:rsidR="0019513F" w:rsidRPr="0066403C">
        <w:rPr>
          <w:rFonts w:ascii="Bookman Old Style" w:hAnsi="Bookman Old Style"/>
          <w:sz w:val="24"/>
          <w:szCs w:val="24"/>
        </w:rPr>
        <w:t>really apply?</w:t>
      </w:r>
    </w:p>
    <w:p w:rsidR="00581073" w:rsidRPr="0066403C" w:rsidRDefault="0081699C" w:rsidP="0081699C">
      <w:pPr>
        <w:pStyle w:val="ListParagraph"/>
        <w:numPr>
          <w:ilvl w:val="2"/>
          <w:numId w:val="1"/>
        </w:numPr>
        <w:spacing w:line="480" w:lineRule="auto"/>
        <w:ind w:left="1418" w:hanging="284"/>
        <w:jc w:val="both"/>
        <w:rPr>
          <w:rFonts w:ascii="Bookman Old Style" w:hAnsi="Bookman Old Style"/>
          <w:sz w:val="24"/>
          <w:szCs w:val="24"/>
        </w:rPr>
      </w:pPr>
      <w:r>
        <w:rPr>
          <w:rFonts w:ascii="Bookman Old Style" w:hAnsi="Bookman Old Style"/>
          <w:sz w:val="24"/>
          <w:szCs w:val="24"/>
        </w:rPr>
        <w:t>w</w:t>
      </w:r>
      <w:r w:rsidR="0019513F" w:rsidRPr="0066403C">
        <w:rPr>
          <w:rFonts w:ascii="Bookman Old Style" w:hAnsi="Bookman Old Style"/>
          <w:sz w:val="24"/>
          <w:szCs w:val="24"/>
        </w:rPr>
        <w:t>hat is the relevance of the contractual waiver?</w:t>
      </w:r>
    </w:p>
    <w:p w:rsidR="009D5814" w:rsidRDefault="009D5814" w:rsidP="009D5814">
      <w:pPr>
        <w:pStyle w:val="ListParagraph"/>
        <w:numPr>
          <w:ilvl w:val="2"/>
          <w:numId w:val="1"/>
        </w:numPr>
        <w:spacing w:line="480" w:lineRule="auto"/>
        <w:ind w:left="1418" w:hanging="284"/>
        <w:jc w:val="both"/>
        <w:rPr>
          <w:rFonts w:ascii="Bookman Old Style" w:hAnsi="Bookman Old Style"/>
          <w:sz w:val="24"/>
          <w:szCs w:val="24"/>
        </w:rPr>
      </w:pPr>
      <w:r>
        <w:rPr>
          <w:rFonts w:ascii="Bookman Old Style" w:hAnsi="Bookman Old Style"/>
          <w:sz w:val="24"/>
          <w:szCs w:val="24"/>
        </w:rPr>
        <w:t>d</w:t>
      </w:r>
      <w:r w:rsidRPr="0066403C">
        <w:rPr>
          <w:rFonts w:ascii="Bookman Old Style" w:hAnsi="Bookman Old Style"/>
          <w:sz w:val="24"/>
          <w:szCs w:val="24"/>
        </w:rPr>
        <w:t>o warning signs assist the Defendant?</w:t>
      </w:r>
      <w:r>
        <w:rPr>
          <w:rFonts w:ascii="Bookman Old Style" w:hAnsi="Bookman Old Style"/>
          <w:sz w:val="24"/>
          <w:szCs w:val="24"/>
        </w:rPr>
        <w:t xml:space="preserve"> </w:t>
      </w:r>
    </w:p>
    <w:p w:rsidR="004402B7" w:rsidRPr="0066403C" w:rsidRDefault="004402B7" w:rsidP="009D5814">
      <w:pPr>
        <w:pStyle w:val="ListParagraph"/>
        <w:numPr>
          <w:ilvl w:val="2"/>
          <w:numId w:val="1"/>
        </w:numPr>
        <w:spacing w:line="480" w:lineRule="auto"/>
        <w:ind w:left="1418" w:hanging="284"/>
        <w:jc w:val="both"/>
        <w:rPr>
          <w:rFonts w:ascii="Bookman Old Style" w:hAnsi="Bookman Old Style"/>
          <w:sz w:val="24"/>
          <w:szCs w:val="24"/>
        </w:rPr>
      </w:pPr>
      <w:r>
        <w:rPr>
          <w:rFonts w:ascii="Bookman Old Style" w:hAnsi="Bookman Old Style"/>
          <w:sz w:val="24"/>
          <w:szCs w:val="24"/>
        </w:rPr>
        <w:t>does the ACL apply?</w:t>
      </w:r>
    </w:p>
    <w:p w:rsidR="001A57E6" w:rsidRDefault="0081699C" w:rsidP="0081699C">
      <w:pPr>
        <w:pStyle w:val="ListParagraph"/>
        <w:numPr>
          <w:ilvl w:val="2"/>
          <w:numId w:val="1"/>
        </w:numPr>
        <w:spacing w:line="480" w:lineRule="auto"/>
        <w:ind w:left="1418" w:hanging="284"/>
        <w:jc w:val="both"/>
        <w:rPr>
          <w:rFonts w:ascii="Bookman Old Style" w:hAnsi="Bookman Old Style"/>
          <w:sz w:val="24"/>
          <w:szCs w:val="24"/>
        </w:rPr>
      </w:pPr>
      <w:r>
        <w:rPr>
          <w:rFonts w:ascii="Bookman Old Style" w:hAnsi="Bookman Old Style"/>
          <w:sz w:val="24"/>
          <w:szCs w:val="24"/>
        </w:rPr>
        <w:t>c</w:t>
      </w:r>
      <w:r w:rsidR="0019513F" w:rsidRPr="0066403C">
        <w:rPr>
          <w:rFonts w:ascii="Bookman Old Style" w:hAnsi="Bookman Old Style"/>
          <w:sz w:val="24"/>
          <w:szCs w:val="24"/>
        </w:rPr>
        <w:t>ould the ACL provide an alternative means to access general damages?</w:t>
      </w:r>
    </w:p>
    <w:p w:rsidR="00520739" w:rsidRPr="00520739" w:rsidRDefault="00520739" w:rsidP="00520739">
      <w:pPr>
        <w:spacing w:line="480" w:lineRule="auto"/>
        <w:jc w:val="both"/>
        <w:rPr>
          <w:rFonts w:ascii="Bookman Old Style" w:hAnsi="Bookman Old Style"/>
          <w:sz w:val="24"/>
          <w:szCs w:val="24"/>
        </w:rPr>
      </w:pPr>
    </w:p>
    <w:p w:rsidR="00061C55" w:rsidRDefault="00061C55" w:rsidP="00061C55">
      <w:pPr>
        <w:spacing w:line="480" w:lineRule="auto"/>
        <w:jc w:val="both"/>
        <w:rPr>
          <w:rFonts w:ascii="Bookman Old Style" w:hAnsi="Bookman Old Style"/>
          <w:sz w:val="24"/>
          <w:szCs w:val="24"/>
        </w:rPr>
      </w:pPr>
    </w:p>
    <w:p w:rsidR="00061C55" w:rsidRDefault="00061C55" w:rsidP="0064222B">
      <w:pPr>
        <w:spacing w:line="240" w:lineRule="auto"/>
        <w:jc w:val="right"/>
        <w:rPr>
          <w:rFonts w:ascii="Bookman Old Style" w:hAnsi="Bookman Old Style"/>
          <w:b/>
          <w:sz w:val="24"/>
          <w:szCs w:val="24"/>
        </w:rPr>
      </w:pPr>
      <w:r>
        <w:rPr>
          <w:rFonts w:ascii="Bookman Old Style" w:hAnsi="Bookman Old Style"/>
          <w:b/>
          <w:sz w:val="24"/>
          <w:szCs w:val="24"/>
        </w:rPr>
        <w:t>P G HAMILTON</w:t>
      </w:r>
    </w:p>
    <w:p w:rsidR="00061C55" w:rsidRDefault="00061C55" w:rsidP="0064222B">
      <w:pPr>
        <w:spacing w:line="240" w:lineRule="auto"/>
        <w:jc w:val="right"/>
        <w:rPr>
          <w:rFonts w:ascii="Bookman Old Style" w:hAnsi="Bookman Old Style"/>
          <w:b/>
          <w:sz w:val="24"/>
          <w:szCs w:val="24"/>
        </w:rPr>
      </w:pPr>
      <w:r>
        <w:rPr>
          <w:rFonts w:ascii="Bookman Old Style" w:hAnsi="Bookman Old Style"/>
          <w:b/>
          <w:sz w:val="24"/>
          <w:szCs w:val="24"/>
        </w:rPr>
        <w:t>OWEN DIXON CHAMBERS</w:t>
      </w:r>
      <w:r w:rsidR="004327D3">
        <w:rPr>
          <w:rFonts w:ascii="Bookman Old Style" w:hAnsi="Bookman Old Style"/>
          <w:b/>
          <w:sz w:val="24"/>
          <w:szCs w:val="24"/>
        </w:rPr>
        <w:t xml:space="preserve"> WEST</w:t>
      </w:r>
    </w:p>
    <w:p w:rsidR="00B360F4" w:rsidRDefault="00B360F4" w:rsidP="0064222B">
      <w:pPr>
        <w:spacing w:line="240" w:lineRule="auto"/>
        <w:jc w:val="right"/>
        <w:rPr>
          <w:rFonts w:ascii="Bookman Old Style" w:hAnsi="Bookman Old Style"/>
          <w:b/>
          <w:sz w:val="24"/>
          <w:szCs w:val="24"/>
        </w:rPr>
      </w:pPr>
    </w:p>
    <w:p w:rsidR="00B360F4" w:rsidRDefault="00B360F4" w:rsidP="0064222B">
      <w:pPr>
        <w:spacing w:line="240" w:lineRule="auto"/>
        <w:jc w:val="right"/>
        <w:rPr>
          <w:rFonts w:ascii="Bookman Old Style" w:hAnsi="Bookman Old Style"/>
          <w:b/>
          <w:sz w:val="24"/>
          <w:szCs w:val="24"/>
        </w:rPr>
      </w:pPr>
    </w:p>
    <w:p w:rsidR="00B360F4" w:rsidRPr="00061C55" w:rsidRDefault="00B360F4" w:rsidP="0064222B">
      <w:pPr>
        <w:spacing w:line="240" w:lineRule="auto"/>
        <w:jc w:val="right"/>
        <w:rPr>
          <w:rFonts w:ascii="Bookman Old Style" w:hAnsi="Bookman Old Style"/>
          <w:b/>
          <w:sz w:val="24"/>
          <w:szCs w:val="24"/>
        </w:rPr>
      </w:pPr>
      <w:r>
        <w:rPr>
          <w:rFonts w:ascii="Roboto Condensed" w:hAnsi="Roboto Condensed" w:cs="Arial"/>
          <w:noProof/>
          <w:color w:val="54AACB"/>
          <w:sz w:val="21"/>
          <w:szCs w:val="21"/>
          <w:lang w:eastAsia="en-AU"/>
        </w:rPr>
        <w:drawing>
          <wp:inline distT="0" distB="0" distL="0" distR="0" wp14:anchorId="1F1A62A0" wp14:editId="52465A08">
            <wp:extent cx="2632075" cy="620395"/>
            <wp:effectExtent l="0" t="0" r="0" b="8255"/>
            <wp:docPr id="1" name="Picture 1" descr="greenslist logo t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slist logo tr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2075" cy="620395"/>
                    </a:xfrm>
                    <a:prstGeom prst="rect">
                      <a:avLst/>
                    </a:prstGeom>
                    <a:noFill/>
                    <a:ln>
                      <a:noFill/>
                    </a:ln>
                  </pic:spPr>
                </pic:pic>
              </a:graphicData>
            </a:graphic>
          </wp:inline>
        </w:drawing>
      </w:r>
    </w:p>
    <w:sectPr w:rsidR="00B360F4" w:rsidRPr="00061C55" w:rsidSect="00E0793D">
      <w:footerReference w:type="default" r:id="rId9"/>
      <w:pgSz w:w="11906" w:h="16838"/>
      <w:pgMar w:top="1440" w:right="1440" w:bottom="1440" w:left="1440" w:header="708" w:footer="708" w:gutter="0"/>
      <w:pgBorders w:offsetFrom="page">
        <w:top w:val="single" w:sz="4" w:space="24" w:color="70AD47" w:themeColor="accent6"/>
        <w:left w:val="single" w:sz="4" w:space="24" w:color="70AD47" w:themeColor="accent6"/>
        <w:bottom w:val="single" w:sz="4" w:space="24" w:color="70AD47" w:themeColor="accent6"/>
        <w:right w:val="single" w:sz="4" w:space="24" w:color="70AD47" w:themeColor="accent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FC4" w:rsidRDefault="00284FC4" w:rsidP="00E0793D">
      <w:pPr>
        <w:spacing w:after="0" w:line="240" w:lineRule="auto"/>
      </w:pPr>
      <w:r>
        <w:separator/>
      </w:r>
    </w:p>
  </w:endnote>
  <w:endnote w:type="continuationSeparator" w:id="0">
    <w:p w:rsidR="00284FC4" w:rsidRDefault="00284FC4" w:rsidP="00E07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oboto Condense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03540"/>
      <w:docPartObj>
        <w:docPartGallery w:val="Page Numbers (Bottom of Page)"/>
        <w:docPartUnique/>
      </w:docPartObj>
    </w:sdtPr>
    <w:sdtEndPr>
      <w:rPr>
        <w:rFonts w:ascii="Bookman Old Style" w:hAnsi="Bookman Old Style"/>
        <w:noProof/>
      </w:rPr>
    </w:sdtEndPr>
    <w:sdtContent>
      <w:p w:rsidR="00302A7E" w:rsidRPr="00E0793D" w:rsidRDefault="00302A7E">
        <w:pPr>
          <w:pStyle w:val="Footer"/>
          <w:jc w:val="center"/>
          <w:rPr>
            <w:rFonts w:ascii="Bookman Old Style" w:hAnsi="Bookman Old Style"/>
          </w:rPr>
        </w:pPr>
        <w:r w:rsidRPr="00E0793D">
          <w:rPr>
            <w:rFonts w:ascii="Bookman Old Style" w:hAnsi="Bookman Old Style"/>
          </w:rPr>
          <w:fldChar w:fldCharType="begin"/>
        </w:r>
        <w:r w:rsidRPr="00E0793D">
          <w:rPr>
            <w:rFonts w:ascii="Bookman Old Style" w:hAnsi="Bookman Old Style"/>
          </w:rPr>
          <w:instrText xml:space="preserve"> PAGE   \* MERGEFORMAT </w:instrText>
        </w:r>
        <w:r w:rsidRPr="00E0793D">
          <w:rPr>
            <w:rFonts w:ascii="Bookman Old Style" w:hAnsi="Bookman Old Style"/>
          </w:rPr>
          <w:fldChar w:fldCharType="separate"/>
        </w:r>
        <w:r w:rsidR="009921C5">
          <w:rPr>
            <w:rFonts w:ascii="Bookman Old Style" w:hAnsi="Bookman Old Style"/>
            <w:noProof/>
          </w:rPr>
          <w:t>14</w:t>
        </w:r>
        <w:r w:rsidRPr="00E0793D">
          <w:rPr>
            <w:rFonts w:ascii="Bookman Old Style" w:hAnsi="Bookman Old Style"/>
            <w:noProof/>
          </w:rPr>
          <w:fldChar w:fldCharType="end"/>
        </w:r>
      </w:p>
    </w:sdtContent>
  </w:sdt>
  <w:p w:rsidR="00302A7E" w:rsidRDefault="00302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FC4" w:rsidRDefault="00284FC4" w:rsidP="00E0793D">
      <w:pPr>
        <w:spacing w:after="0" w:line="240" w:lineRule="auto"/>
      </w:pPr>
      <w:r>
        <w:separator/>
      </w:r>
    </w:p>
  </w:footnote>
  <w:footnote w:type="continuationSeparator" w:id="0">
    <w:p w:rsidR="00284FC4" w:rsidRDefault="00284FC4" w:rsidP="00E0793D">
      <w:pPr>
        <w:spacing w:after="0" w:line="240" w:lineRule="auto"/>
      </w:pPr>
      <w:r>
        <w:continuationSeparator/>
      </w:r>
    </w:p>
  </w:footnote>
  <w:footnote w:id="1">
    <w:p w:rsidR="00302A7E" w:rsidRPr="00583AAE" w:rsidRDefault="00302A7E">
      <w:pPr>
        <w:pStyle w:val="FootnoteText"/>
        <w:rPr>
          <w:rFonts w:ascii="Bookman Old Style" w:hAnsi="Bookman Old Style"/>
        </w:rPr>
      </w:pPr>
      <w:r w:rsidRPr="00583AAE">
        <w:rPr>
          <w:rStyle w:val="FootnoteReference"/>
          <w:rFonts w:ascii="Bookman Old Style" w:hAnsi="Bookman Old Style"/>
        </w:rPr>
        <w:footnoteRef/>
      </w:r>
      <w:r w:rsidRPr="00583AAE">
        <w:rPr>
          <w:rFonts w:ascii="Bookman Old Style" w:hAnsi="Bookman Old Style"/>
        </w:rPr>
        <w:t xml:space="preserve">        </w:t>
      </w:r>
      <w:r w:rsidRPr="00583AAE">
        <w:rPr>
          <w:rFonts w:ascii="Bookman Old Style" w:hAnsi="Bookman Old Style"/>
          <w:lang w:val="en"/>
        </w:rPr>
        <w:t xml:space="preserve">LLM (Monash) LLB BA (Dist.) Grad. Dip (Law); barrister, Green’s List. </w:t>
      </w:r>
    </w:p>
  </w:footnote>
  <w:footnote w:id="2">
    <w:p w:rsidR="00302A7E" w:rsidRPr="00964A09" w:rsidRDefault="00302A7E" w:rsidP="005447F0">
      <w:pPr>
        <w:pStyle w:val="FootnoteText"/>
        <w:ind w:left="567" w:hanging="567"/>
        <w:rPr>
          <w:rFonts w:ascii="Bookman Old Style" w:hAnsi="Bookman Old Style"/>
        </w:rPr>
      </w:pPr>
      <w:r w:rsidRPr="00964A09">
        <w:rPr>
          <w:rStyle w:val="FootnoteReference"/>
          <w:rFonts w:ascii="Bookman Old Style" w:hAnsi="Bookman Old Style"/>
        </w:rPr>
        <w:footnoteRef/>
      </w:r>
      <w:r w:rsidRPr="00964A09">
        <w:rPr>
          <w:rFonts w:ascii="Bookman Old Style" w:hAnsi="Bookman Old Style"/>
        </w:rPr>
        <w:t xml:space="preserve"> </w:t>
      </w:r>
      <w:r w:rsidRPr="00964A09">
        <w:rPr>
          <w:rFonts w:ascii="Bookman Old Style" w:hAnsi="Bookman Old Style"/>
        </w:rPr>
        <w:tab/>
        <w:t>A council cannot be an occupier of a footpath, for example</w:t>
      </w:r>
      <w:r>
        <w:rPr>
          <w:rFonts w:ascii="Bookman Old Style" w:hAnsi="Bookman Old Style"/>
        </w:rPr>
        <w:t xml:space="preserve">: see </w:t>
      </w:r>
      <w:r w:rsidRPr="005447F0">
        <w:rPr>
          <w:rFonts w:ascii="Bookman Old Style" w:hAnsi="Bookman Old Style"/>
          <w:i/>
        </w:rPr>
        <w:t>Central Goldfields Shire v Haley &amp; Ors [2009] VSCA 101</w:t>
      </w:r>
      <w:r>
        <w:rPr>
          <w:rFonts w:ascii="Bookman Old Style" w:hAnsi="Bookman Old Style"/>
        </w:rPr>
        <w:t xml:space="preserve"> per Redlich JA</w:t>
      </w:r>
      <w:r w:rsidR="00ED1B7E">
        <w:rPr>
          <w:rFonts w:ascii="Bookman Old Style" w:hAnsi="Bookman Old Style"/>
        </w:rPr>
        <w:t xml:space="preserve"> and by operation of the </w:t>
      </w:r>
      <w:r w:rsidR="00ED1B7E">
        <w:rPr>
          <w:rFonts w:ascii="Bookman Old Style" w:hAnsi="Bookman Old Style"/>
          <w:i/>
        </w:rPr>
        <w:t>Road Management Act 2004 (Vic)</w:t>
      </w:r>
      <w:r w:rsidRPr="00964A09">
        <w:rPr>
          <w:rFonts w:ascii="Bookman Old Style" w:hAnsi="Bookman Old Style"/>
        </w:rPr>
        <w:t xml:space="preserve">. </w:t>
      </w:r>
    </w:p>
  </w:footnote>
  <w:footnote w:id="3">
    <w:p w:rsidR="00302A7E" w:rsidRPr="00572DAB" w:rsidRDefault="00302A7E">
      <w:pPr>
        <w:pStyle w:val="FootnoteText"/>
        <w:rPr>
          <w:rFonts w:ascii="Bookman Old Style" w:hAnsi="Bookman Old Style"/>
        </w:rPr>
      </w:pPr>
      <w:r w:rsidRPr="00572DAB">
        <w:rPr>
          <w:rStyle w:val="FootnoteReference"/>
          <w:rFonts w:ascii="Bookman Old Style" w:hAnsi="Bookman Old Style"/>
        </w:rPr>
        <w:footnoteRef/>
      </w:r>
      <w:r w:rsidRPr="00572DAB">
        <w:rPr>
          <w:rFonts w:ascii="Bookman Old Style" w:hAnsi="Bookman Old Style"/>
        </w:rPr>
        <w:t xml:space="preserve"> </w:t>
      </w:r>
      <w:r w:rsidRPr="00572DAB">
        <w:rPr>
          <w:rFonts w:ascii="Bookman Old Style" w:hAnsi="Bookman Old Style"/>
        </w:rPr>
        <w:tab/>
        <w:t xml:space="preserve">162 CLR 479. </w:t>
      </w:r>
    </w:p>
  </w:footnote>
  <w:footnote w:id="4">
    <w:p w:rsidR="00302A7E" w:rsidRPr="004F2E2F" w:rsidRDefault="00302A7E">
      <w:pPr>
        <w:pStyle w:val="FootnoteText"/>
        <w:rPr>
          <w:rFonts w:ascii="Bookman Old Style" w:hAnsi="Bookman Old Style"/>
        </w:rPr>
      </w:pPr>
      <w:r w:rsidRPr="004F2E2F">
        <w:rPr>
          <w:rStyle w:val="FootnoteReference"/>
          <w:rFonts w:ascii="Bookman Old Style" w:hAnsi="Bookman Old Style"/>
        </w:rPr>
        <w:footnoteRef/>
      </w:r>
      <w:r w:rsidRPr="004F2E2F">
        <w:rPr>
          <w:rFonts w:ascii="Bookman Old Style" w:hAnsi="Bookman Old Style"/>
        </w:rPr>
        <w:t xml:space="preserve"> </w:t>
      </w:r>
      <w:r w:rsidRPr="004F2E2F">
        <w:rPr>
          <w:rFonts w:ascii="Bookman Old Style" w:hAnsi="Bookman Old Style"/>
        </w:rPr>
        <w:tab/>
      </w:r>
      <w:bookmarkStart w:id="0" w:name="ORIGHIT_1"/>
      <w:bookmarkStart w:id="1" w:name="HIT_1"/>
      <w:bookmarkEnd w:id="0"/>
      <w:bookmarkEnd w:id="1"/>
      <w:r w:rsidRPr="004F2E2F">
        <w:rPr>
          <w:rFonts w:ascii="Bookman Old Style" w:hAnsi="Bookman Old Style"/>
          <w:bCs/>
          <w:lang w:val="en"/>
        </w:rPr>
        <w:t>56 ALR 417</w:t>
      </w:r>
      <w:r>
        <w:rPr>
          <w:rFonts w:ascii="Bookman Old Style" w:hAnsi="Bookman Old Style"/>
          <w:bCs/>
          <w:lang w:val="en"/>
        </w:rPr>
        <w:t>.</w:t>
      </w:r>
    </w:p>
  </w:footnote>
  <w:footnote w:id="5">
    <w:p w:rsidR="00302A7E" w:rsidRPr="00097399" w:rsidRDefault="00302A7E">
      <w:pPr>
        <w:pStyle w:val="FootnoteText"/>
        <w:rPr>
          <w:rFonts w:ascii="Bookman Old Style" w:hAnsi="Bookman Old Style"/>
        </w:rPr>
      </w:pPr>
      <w:r w:rsidRPr="00097399">
        <w:rPr>
          <w:rStyle w:val="FootnoteReference"/>
          <w:rFonts w:ascii="Bookman Old Style" w:hAnsi="Bookman Old Style"/>
        </w:rPr>
        <w:footnoteRef/>
      </w:r>
      <w:r w:rsidRPr="00097399">
        <w:rPr>
          <w:rFonts w:ascii="Bookman Old Style" w:hAnsi="Bookman Old Style"/>
        </w:rPr>
        <w:t xml:space="preserve"> </w:t>
      </w:r>
      <w:r w:rsidRPr="00097399">
        <w:rPr>
          <w:rFonts w:ascii="Bookman Old Style" w:hAnsi="Bookman Old Style"/>
        </w:rPr>
        <w:tab/>
        <w:t>[1966] AC 552.</w:t>
      </w:r>
    </w:p>
  </w:footnote>
  <w:footnote w:id="6">
    <w:p w:rsidR="00302A7E" w:rsidRPr="008771EF" w:rsidRDefault="00302A7E">
      <w:pPr>
        <w:pStyle w:val="FootnoteText"/>
        <w:rPr>
          <w:rFonts w:ascii="Bookman Old Style" w:hAnsi="Bookman Old Style"/>
        </w:rPr>
      </w:pPr>
      <w:r w:rsidRPr="008771EF">
        <w:rPr>
          <w:rStyle w:val="FootnoteReference"/>
          <w:rFonts w:ascii="Bookman Old Style" w:hAnsi="Bookman Old Style"/>
        </w:rPr>
        <w:footnoteRef/>
      </w:r>
      <w:r w:rsidRPr="008771EF">
        <w:rPr>
          <w:rFonts w:ascii="Bookman Old Style" w:hAnsi="Bookman Old Style"/>
        </w:rPr>
        <w:t xml:space="preserve"> </w:t>
      </w:r>
      <w:r w:rsidRPr="008771EF">
        <w:rPr>
          <w:rFonts w:ascii="Bookman Old Style" w:hAnsi="Bookman Old Style"/>
        </w:rPr>
        <w:tab/>
        <w:t xml:space="preserve">188 CLR 313. </w:t>
      </w:r>
    </w:p>
  </w:footnote>
  <w:footnote w:id="7">
    <w:p w:rsidR="00302A7E" w:rsidRPr="008A53D6" w:rsidRDefault="00302A7E">
      <w:pPr>
        <w:pStyle w:val="FootnoteText"/>
        <w:rPr>
          <w:rFonts w:ascii="Bookman Old Style" w:hAnsi="Bookman Old Style"/>
        </w:rPr>
      </w:pPr>
      <w:r w:rsidRPr="008A53D6">
        <w:rPr>
          <w:rStyle w:val="FootnoteReference"/>
          <w:rFonts w:ascii="Bookman Old Style" w:hAnsi="Bookman Old Style"/>
        </w:rPr>
        <w:footnoteRef/>
      </w:r>
      <w:r w:rsidRPr="008A53D6">
        <w:rPr>
          <w:rFonts w:ascii="Bookman Old Style" w:hAnsi="Bookman Old Style"/>
        </w:rPr>
        <w:t xml:space="preserve"> </w:t>
      </w:r>
      <w:r w:rsidRPr="008A53D6">
        <w:rPr>
          <w:rFonts w:ascii="Bookman Old Style" w:hAnsi="Bookman Old Style"/>
        </w:rPr>
        <w:tab/>
        <w:t>[2009] VSCA 101.</w:t>
      </w:r>
    </w:p>
  </w:footnote>
  <w:footnote w:id="8">
    <w:p w:rsidR="00302A7E" w:rsidRPr="00404D6E" w:rsidRDefault="00302A7E">
      <w:pPr>
        <w:pStyle w:val="FootnoteText"/>
        <w:rPr>
          <w:rFonts w:ascii="Bookman Old Style" w:hAnsi="Bookman Old Style"/>
        </w:rPr>
      </w:pPr>
      <w:r w:rsidRPr="00404D6E">
        <w:rPr>
          <w:rStyle w:val="FootnoteReference"/>
          <w:rFonts w:ascii="Bookman Old Style" w:hAnsi="Bookman Old Style"/>
        </w:rPr>
        <w:footnoteRef/>
      </w:r>
      <w:r w:rsidRPr="00404D6E">
        <w:rPr>
          <w:rFonts w:ascii="Bookman Old Style" w:hAnsi="Bookman Old Style"/>
        </w:rPr>
        <w:t xml:space="preserve"> </w:t>
      </w:r>
      <w:r w:rsidRPr="00404D6E">
        <w:rPr>
          <w:rFonts w:ascii="Bookman Old Style" w:hAnsi="Bookman Old Style"/>
        </w:rPr>
        <w:tab/>
        <w:t>[2012] VSC 412 at 5.</w:t>
      </w:r>
    </w:p>
  </w:footnote>
  <w:footnote w:id="9">
    <w:p w:rsidR="00302A7E" w:rsidRPr="003B0514" w:rsidRDefault="00302A7E">
      <w:pPr>
        <w:pStyle w:val="FootnoteText"/>
        <w:rPr>
          <w:rFonts w:ascii="Bookman Old Style" w:hAnsi="Bookman Old Style"/>
        </w:rPr>
      </w:pPr>
      <w:r w:rsidRPr="003B0514">
        <w:rPr>
          <w:rStyle w:val="FootnoteReference"/>
          <w:rFonts w:ascii="Bookman Old Style" w:hAnsi="Bookman Old Style"/>
        </w:rPr>
        <w:footnoteRef/>
      </w:r>
      <w:r w:rsidRPr="003B0514">
        <w:rPr>
          <w:rFonts w:ascii="Bookman Old Style" w:hAnsi="Bookman Old Style"/>
        </w:rPr>
        <w:t xml:space="preserve"> </w:t>
      </w:r>
      <w:r w:rsidRPr="003B0514">
        <w:rPr>
          <w:rFonts w:ascii="Bookman Old Style" w:hAnsi="Bookman Old Style"/>
        </w:rPr>
        <w:tab/>
        <w:t>&amp; Anor [2002] VSCA 23</w:t>
      </w:r>
      <w:r>
        <w:rPr>
          <w:rFonts w:ascii="Bookman Old Style" w:hAnsi="Bookman Old Style"/>
        </w:rPr>
        <w:t xml:space="preserve"> at 6.</w:t>
      </w:r>
    </w:p>
  </w:footnote>
  <w:footnote w:id="10">
    <w:p w:rsidR="00302A7E" w:rsidRPr="00C147CE" w:rsidRDefault="00302A7E">
      <w:pPr>
        <w:pStyle w:val="FootnoteText"/>
        <w:rPr>
          <w:rFonts w:ascii="Bookman Old Style" w:hAnsi="Bookman Old Style"/>
        </w:rPr>
      </w:pPr>
      <w:r w:rsidRPr="00C147CE">
        <w:rPr>
          <w:rStyle w:val="FootnoteReference"/>
          <w:rFonts w:ascii="Bookman Old Style" w:hAnsi="Bookman Old Style"/>
        </w:rPr>
        <w:footnoteRef/>
      </w:r>
      <w:r w:rsidRPr="00C147CE">
        <w:rPr>
          <w:rFonts w:ascii="Bookman Old Style" w:hAnsi="Bookman Old Style"/>
        </w:rPr>
        <w:t xml:space="preserve"> </w:t>
      </w:r>
      <w:r w:rsidRPr="00C147CE">
        <w:rPr>
          <w:rFonts w:ascii="Bookman Old Style" w:hAnsi="Bookman Old Style"/>
        </w:rPr>
        <w:tab/>
        <w:t>[2016] VSC 178.</w:t>
      </w:r>
    </w:p>
  </w:footnote>
  <w:footnote w:id="11">
    <w:p w:rsidR="00660BD8" w:rsidRPr="00D6324B" w:rsidRDefault="00660BD8">
      <w:pPr>
        <w:pStyle w:val="FootnoteText"/>
        <w:rPr>
          <w:rFonts w:ascii="Bookman Old Style" w:hAnsi="Bookman Old Style"/>
        </w:rPr>
      </w:pPr>
      <w:r w:rsidRPr="00D6324B">
        <w:rPr>
          <w:rStyle w:val="FootnoteReference"/>
          <w:rFonts w:ascii="Bookman Old Style" w:hAnsi="Bookman Old Style"/>
        </w:rPr>
        <w:footnoteRef/>
      </w:r>
      <w:r w:rsidRPr="00D6324B">
        <w:rPr>
          <w:rFonts w:ascii="Bookman Old Style" w:hAnsi="Bookman Old Style"/>
        </w:rPr>
        <w:t xml:space="preserve"> </w:t>
      </w:r>
      <w:r w:rsidRPr="00D6324B">
        <w:rPr>
          <w:rFonts w:ascii="Bookman Old Style" w:hAnsi="Bookman Old Style"/>
        </w:rPr>
        <w:tab/>
        <w:t xml:space="preserve">[2015] VSCA 220. </w:t>
      </w:r>
    </w:p>
  </w:footnote>
  <w:footnote w:id="12">
    <w:p w:rsidR="00302A7E" w:rsidRPr="006F6154" w:rsidRDefault="00302A7E" w:rsidP="006F6620">
      <w:pPr>
        <w:pStyle w:val="FootnoteText"/>
        <w:ind w:left="709" w:hanging="709"/>
        <w:rPr>
          <w:rFonts w:ascii="Bookman Old Style" w:hAnsi="Bookman Old Style"/>
        </w:rPr>
      </w:pPr>
      <w:r w:rsidRPr="006F6154">
        <w:rPr>
          <w:rStyle w:val="FootnoteReference"/>
          <w:rFonts w:ascii="Bookman Old Style" w:hAnsi="Bookman Old Style"/>
        </w:rPr>
        <w:footnoteRef/>
      </w:r>
      <w:r w:rsidRPr="006F6154">
        <w:rPr>
          <w:rFonts w:ascii="Bookman Old Style" w:hAnsi="Bookman Old Style"/>
        </w:rPr>
        <w:t xml:space="preserve"> </w:t>
      </w:r>
      <w:r w:rsidRPr="006F6154">
        <w:rPr>
          <w:rFonts w:ascii="Bookman Old Style" w:hAnsi="Bookman Old Style"/>
        </w:rPr>
        <w:tab/>
        <w:t xml:space="preserve">Johnstone, R, </w:t>
      </w:r>
      <w:r w:rsidRPr="006F6154">
        <w:rPr>
          <w:rFonts w:ascii="Bookman Old Style" w:hAnsi="Bookman Old Style"/>
          <w:i/>
        </w:rPr>
        <w:t xml:space="preserve">The Occupiers Liability Act 1983 (Vic): Sanity </w:t>
      </w:r>
      <w:proofErr w:type="gramStart"/>
      <w:r w:rsidRPr="006F6154">
        <w:rPr>
          <w:rFonts w:ascii="Bookman Old Style" w:hAnsi="Bookman Old Style"/>
          <w:i/>
        </w:rPr>
        <w:t>Restored?,</w:t>
      </w:r>
      <w:proofErr w:type="gramEnd"/>
      <w:r w:rsidRPr="006F6154">
        <w:rPr>
          <w:rFonts w:ascii="Bookman Old Style" w:hAnsi="Bookman Old Style"/>
          <w:i/>
        </w:rPr>
        <w:t xml:space="preserve"> </w:t>
      </w:r>
      <w:r w:rsidRPr="006F6154">
        <w:rPr>
          <w:rFonts w:ascii="Bookman Old Style" w:hAnsi="Bookman Old Style"/>
        </w:rPr>
        <w:t>Melbourne University Law Review</w:t>
      </w:r>
      <w:r w:rsidRPr="006F6154">
        <w:rPr>
          <w:rFonts w:ascii="Bookman Old Style" w:hAnsi="Bookman Old Style"/>
          <w:i/>
        </w:rPr>
        <w:t>,</w:t>
      </w:r>
      <w:r w:rsidRPr="006F6154">
        <w:rPr>
          <w:rFonts w:ascii="Bookman Old Style" w:hAnsi="Bookman Old Style"/>
        </w:rPr>
        <w:t xml:space="preserve"> </w:t>
      </w:r>
      <w:proofErr w:type="spellStart"/>
      <w:r w:rsidRPr="006F6154">
        <w:rPr>
          <w:rFonts w:ascii="Bookman Old Style" w:hAnsi="Bookman Old Style"/>
        </w:rPr>
        <w:t>Vo1</w:t>
      </w:r>
      <w:proofErr w:type="spellEnd"/>
      <w:r w:rsidRPr="006F6154">
        <w:rPr>
          <w:rFonts w:ascii="Bookman Old Style" w:hAnsi="Bookman Old Style"/>
        </w:rPr>
        <w:t xml:space="preserve">. 14, June 1984.  </w:t>
      </w:r>
    </w:p>
  </w:footnote>
  <w:footnote w:id="13">
    <w:p w:rsidR="00302A7E" w:rsidRPr="00D950BF" w:rsidRDefault="00302A7E">
      <w:pPr>
        <w:pStyle w:val="FootnoteText"/>
        <w:rPr>
          <w:rFonts w:ascii="Bookman Old Style" w:hAnsi="Bookman Old Style"/>
        </w:rPr>
      </w:pPr>
      <w:r w:rsidRPr="00D950BF">
        <w:rPr>
          <w:rStyle w:val="FootnoteReference"/>
          <w:rFonts w:ascii="Bookman Old Style" w:hAnsi="Bookman Old Style"/>
        </w:rPr>
        <w:footnoteRef/>
      </w:r>
      <w:r w:rsidRPr="00D950BF">
        <w:rPr>
          <w:rFonts w:ascii="Bookman Old Style" w:hAnsi="Bookman Old Style"/>
        </w:rPr>
        <w:t xml:space="preserve"> </w:t>
      </w:r>
      <w:r w:rsidRPr="00D950BF">
        <w:rPr>
          <w:rFonts w:ascii="Bookman Old Style" w:hAnsi="Bookman Old Style"/>
        </w:rPr>
        <w:tab/>
        <w:t>[1988] HCA 32.</w:t>
      </w:r>
    </w:p>
  </w:footnote>
  <w:footnote w:id="14">
    <w:p w:rsidR="00302A7E" w:rsidRPr="00C40FCB" w:rsidRDefault="00302A7E" w:rsidP="00D4423A">
      <w:pPr>
        <w:pStyle w:val="FootnoteText"/>
        <w:ind w:left="709" w:hanging="709"/>
        <w:jc w:val="both"/>
        <w:rPr>
          <w:rFonts w:ascii="Bookman Old Style" w:hAnsi="Bookman Old Style"/>
          <w:b/>
          <w:bCs/>
        </w:rPr>
      </w:pPr>
      <w:r w:rsidRPr="00C40FCB">
        <w:rPr>
          <w:rStyle w:val="FootnoteReference"/>
          <w:rFonts w:ascii="Bookman Old Style" w:hAnsi="Bookman Old Style"/>
        </w:rPr>
        <w:footnoteRef/>
      </w:r>
      <w:r w:rsidRPr="00C40FCB">
        <w:rPr>
          <w:rFonts w:ascii="Bookman Old Style" w:hAnsi="Bookman Old Style"/>
        </w:rPr>
        <w:t xml:space="preserve"> </w:t>
      </w:r>
      <w:r w:rsidRPr="00C40FCB">
        <w:rPr>
          <w:rFonts w:ascii="Bookman Old Style" w:hAnsi="Bookman Old Style"/>
        </w:rPr>
        <w:tab/>
      </w:r>
      <w:r>
        <w:rPr>
          <w:rFonts w:ascii="Bookman Old Style" w:hAnsi="Bookman Old Style"/>
        </w:rPr>
        <w:tab/>
      </w:r>
      <w:r w:rsidRPr="00C40FCB">
        <w:rPr>
          <w:rFonts w:ascii="Bookman Old Style" w:hAnsi="Bookman Old Style"/>
        </w:rPr>
        <w:t xml:space="preserve">See also </w:t>
      </w:r>
      <w:r w:rsidRPr="00C40FCB">
        <w:rPr>
          <w:rFonts w:ascii="Bookman Old Style" w:hAnsi="Bookman Old Style"/>
          <w:bCs/>
          <w:i/>
        </w:rPr>
        <w:t xml:space="preserve">Pacific Resources International Pty Ltd v </w:t>
      </w:r>
      <w:proofErr w:type="spellStart"/>
      <w:r w:rsidRPr="00C40FCB">
        <w:rPr>
          <w:rFonts w:ascii="Bookman Old Style" w:hAnsi="Bookman Old Style"/>
          <w:bCs/>
          <w:i/>
        </w:rPr>
        <w:t>UTI</w:t>
      </w:r>
      <w:proofErr w:type="spellEnd"/>
      <w:r w:rsidRPr="00C40FCB">
        <w:rPr>
          <w:rFonts w:ascii="Bookman Old Style" w:hAnsi="Bookman Old Style"/>
          <w:bCs/>
          <w:i/>
        </w:rPr>
        <w:t xml:space="preserve"> (</w:t>
      </w:r>
      <w:proofErr w:type="spellStart"/>
      <w:r w:rsidRPr="00C40FCB">
        <w:rPr>
          <w:rFonts w:ascii="Bookman Old Style" w:hAnsi="Bookman Old Style"/>
          <w:bCs/>
          <w:i/>
        </w:rPr>
        <w:t>Aust</w:t>
      </w:r>
      <w:proofErr w:type="spellEnd"/>
      <w:r w:rsidRPr="00C40FCB">
        <w:rPr>
          <w:rFonts w:ascii="Bookman Old Style" w:hAnsi="Bookman Old Style"/>
          <w:bCs/>
          <w:i/>
        </w:rPr>
        <w:t xml:space="preserve">) Pty Ltd; </w:t>
      </w:r>
      <w:proofErr w:type="spellStart"/>
      <w:r w:rsidRPr="00C40FCB">
        <w:rPr>
          <w:rFonts w:ascii="Bookman Old Style" w:hAnsi="Bookman Old Style"/>
          <w:bCs/>
          <w:i/>
        </w:rPr>
        <w:t>Brackley</w:t>
      </w:r>
      <w:proofErr w:type="spellEnd"/>
      <w:r w:rsidRPr="00C40FCB">
        <w:rPr>
          <w:rFonts w:ascii="Bookman Old Style" w:hAnsi="Bookman Old Style"/>
          <w:bCs/>
          <w:i/>
        </w:rPr>
        <w:t xml:space="preserve"> Industries Pty Ltd v </w:t>
      </w:r>
      <w:proofErr w:type="spellStart"/>
      <w:r w:rsidRPr="00C40FCB">
        <w:rPr>
          <w:rFonts w:ascii="Bookman Old Style" w:hAnsi="Bookman Old Style"/>
          <w:bCs/>
          <w:i/>
        </w:rPr>
        <w:t>UTI</w:t>
      </w:r>
      <w:proofErr w:type="spellEnd"/>
      <w:r w:rsidRPr="00C40FCB">
        <w:rPr>
          <w:rFonts w:ascii="Bookman Old Style" w:hAnsi="Bookman Old Style"/>
          <w:bCs/>
          <w:i/>
        </w:rPr>
        <w:t xml:space="preserve"> (</w:t>
      </w:r>
      <w:proofErr w:type="spellStart"/>
      <w:r w:rsidRPr="00C40FCB">
        <w:rPr>
          <w:rFonts w:ascii="Bookman Old Style" w:hAnsi="Bookman Old Style"/>
          <w:bCs/>
          <w:i/>
        </w:rPr>
        <w:t>Aust</w:t>
      </w:r>
      <w:proofErr w:type="spellEnd"/>
      <w:r w:rsidRPr="00C40FCB">
        <w:rPr>
          <w:rFonts w:ascii="Bookman Old Style" w:hAnsi="Bookman Old Style"/>
          <w:bCs/>
          <w:i/>
        </w:rPr>
        <w:t>) Pty Ltd</w:t>
      </w:r>
      <w:r w:rsidRPr="00C40FCB">
        <w:rPr>
          <w:rFonts w:ascii="Bookman Old Style" w:hAnsi="Bookman Old Style"/>
          <w:bCs/>
        </w:rPr>
        <w:t xml:space="preserve"> [2012] NSWSC 1274 (25 October 2012)</w:t>
      </w:r>
      <w:r>
        <w:rPr>
          <w:rFonts w:ascii="Bookman Old Style" w:hAnsi="Bookman Old Style"/>
          <w:bCs/>
        </w:rPr>
        <w:t xml:space="preserve"> form paragraph 93, </w:t>
      </w:r>
      <w:r w:rsidRPr="00C40FCB">
        <w:rPr>
          <w:rFonts w:ascii="Bookman Old Style" w:hAnsi="Bookman Old Style"/>
          <w:bCs/>
          <w:i/>
        </w:rPr>
        <w:t>Thornton v Shoe Lane Parking Ltd</w:t>
      </w:r>
      <w:r w:rsidRPr="00C40FCB">
        <w:rPr>
          <w:rFonts w:ascii="Bookman Old Style" w:hAnsi="Bookman Old Style"/>
          <w:b/>
          <w:bCs/>
        </w:rPr>
        <w:t xml:space="preserve"> </w:t>
      </w:r>
      <w:r w:rsidRPr="00C40FCB">
        <w:rPr>
          <w:rFonts w:ascii="Bookman Old Style" w:hAnsi="Bookman Old Style"/>
          <w:bCs/>
        </w:rPr>
        <w:t xml:space="preserve">[1971] 2 </w:t>
      </w:r>
      <w:proofErr w:type="spellStart"/>
      <w:r w:rsidRPr="00C40FCB">
        <w:rPr>
          <w:rFonts w:ascii="Bookman Old Style" w:hAnsi="Bookman Old Style"/>
          <w:bCs/>
        </w:rPr>
        <w:t>QB</w:t>
      </w:r>
      <w:proofErr w:type="spellEnd"/>
      <w:r w:rsidRPr="00C40FCB">
        <w:rPr>
          <w:rFonts w:ascii="Bookman Old Style" w:hAnsi="Bookman Old Style"/>
          <w:bCs/>
        </w:rPr>
        <w:t xml:space="preserve"> 163</w:t>
      </w:r>
      <w:r>
        <w:rPr>
          <w:rFonts w:ascii="Bookman Old Style" w:hAnsi="Bookman Old Style"/>
          <w:bCs/>
        </w:rPr>
        <w:t xml:space="preserve">, </w:t>
      </w:r>
      <w:r w:rsidRPr="00C40FCB">
        <w:rPr>
          <w:rFonts w:ascii="Bookman Old Style" w:hAnsi="Bookman Old Style"/>
          <w:bCs/>
          <w:i/>
        </w:rPr>
        <w:t xml:space="preserve">McCutcheon v. David </w:t>
      </w:r>
      <w:proofErr w:type="spellStart"/>
      <w:r w:rsidRPr="00C40FCB">
        <w:rPr>
          <w:rFonts w:ascii="Bookman Old Style" w:hAnsi="Bookman Old Style"/>
          <w:bCs/>
          <w:i/>
        </w:rPr>
        <w:t>MacBravne</w:t>
      </w:r>
      <w:proofErr w:type="spellEnd"/>
      <w:r w:rsidRPr="00C40FCB">
        <w:rPr>
          <w:rFonts w:ascii="Bookman Old Style" w:hAnsi="Bookman Old Style"/>
          <w:bCs/>
        </w:rPr>
        <w:t xml:space="preserve"> </w:t>
      </w:r>
      <w:r>
        <w:rPr>
          <w:rFonts w:ascii="Bookman Old Style" w:hAnsi="Bookman Old Style"/>
          <w:bCs/>
        </w:rPr>
        <w:t xml:space="preserve">(1964) 1 WLR 125 and </w:t>
      </w:r>
      <w:r w:rsidRPr="00C40FCB">
        <w:rPr>
          <w:rFonts w:ascii="Bookman Old Style" w:hAnsi="Bookman Old Style"/>
          <w:bCs/>
          <w:i/>
        </w:rPr>
        <w:t>Environmental Systems Pty Ltd v Peerless Holdings Pty Ltd</w:t>
      </w:r>
      <w:r w:rsidRPr="00C40FCB">
        <w:rPr>
          <w:rFonts w:ascii="Bookman Old Style" w:hAnsi="Bookman Old Style"/>
          <w:bCs/>
        </w:rPr>
        <w:t xml:space="preserve"> [2008] VSCA 26 (26 February 2008)</w:t>
      </w:r>
      <w:r>
        <w:rPr>
          <w:rFonts w:ascii="Bookman Old Style" w:hAnsi="Bookman Old Style"/>
          <w:bCs/>
        </w:rPr>
        <w:t xml:space="preserve"> at 91 where the Court referred to the </w:t>
      </w:r>
      <w:r w:rsidRPr="00C40FCB">
        <w:rPr>
          <w:rFonts w:ascii="Bookman Old Style" w:hAnsi="Bookman Old Style"/>
          <w:bCs/>
          <w:i/>
        </w:rPr>
        <w:t>contra proferentem</w:t>
      </w:r>
      <w:r w:rsidRPr="00C40FCB">
        <w:rPr>
          <w:rFonts w:ascii="Bookman Old Style" w:hAnsi="Bookman Old Style"/>
          <w:bCs/>
        </w:rPr>
        <w:t xml:space="preserve"> rule </w:t>
      </w:r>
      <w:r>
        <w:rPr>
          <w:rFonts w:ascii="Bookman Old Style" w:hAnsi="Bookman Old Style"/>
          <w:bCs/>
        </w:rPr>
        <w:t xml:space="preserve">that </w:t>
      </w:r>
      <w:r w:rsidRPr="00C40FCB">
        <w:rPr>
          <w:rFonts w:ascii="Bookman Old Style" w:hAnsi="Bookman Old Style"/>
          <w:bCs/>
        </w:rPr>
        <w:t xml:space="preserve">should apply to </w:t>
      </w:r>
      <w:r>
        <w:rPr>
          <w:rFonts w:ascii="Bookman Old Style" w:hAnsi="Bookman Old Style"/>
          <w:bCs/>
        </w:rPr>
        <w:t xml:space="preserve">the interpretation of </w:t>
      </w:r>
      <w:r w:rsidRPr="00C40FCB">
        <w:rPr>
          <w:rFonts w:ascii="Bookman Old Style" w:hAnsi="Bookman Old Style"/>
          <w:bCs/>
        </w:rPr>
        <w:t xml:space="preserve">exclusion clauses in </w:t>
      </w:r>
      <w:r>
        <w:rPr>
          <w:rFonts w:ascii="Bookman Old Style" w:hAnsi="Bookman Old Style"/>
          <w:bCs/>
        </w:rPr>
        <w:t>a</w:t>
      </w:r>
      <w:r w:rsidRPr="00C40FCB">
        <w:rPr>
          <w:rFonts w:ascii="Bookman Old Style" w:hAnsi="Bookman Old Style"/>
          <w:bCs/>
        </w:rPr>
        <w:t xml:space="preserve"> contract. </w:t>
      </w:r>
    </w:p>
  </w:footnote>
  <w:footnote w:id="15">
    <w:p w:rsidR="00302A7E" w:rsidRDefault="00302A7E" w:rsidP="007275ED">
      <w:pPr>
        <w:pStyle w:val="FootnoteText"/>
        <w:jc w:val="both"/>
      </w:pPr>
      <w:r w:rsidRPr="00A607BD">
        <w:rPr>
          <w:rStyle w:val="FootnoteReference"/>
          <w:rFonts w:ascii="Bookman Old Style" w:hAnsi="Bookman Old Style"/>
        </w:rPr>
        <w:footnoteRef/>
      </w:r>
      <w:r w:rsidRPr="00A607BD">
        <w:rPr>
          <w:rFonts w:ascii="Bookman Old Style" w:hAnsi="Bookman Old Style"/>
        </w:rPr>
        <w:t xml:space="preserve"> </w:t>
      </w:r>
      <w:r w:rsidRPr="00A607BD">
        <w:rPr>
          <w:rFonts w:ascii="Bookman Old Style" w:hAnsi="Bookman Old Style"/>
        </w:rPr>
        <w:tab/>
        <w:t>His was a dissenting judgment, but the principles he stated were not disputed.</w:t>
      </w:r>
      <w:r>
        <w:t xml:space="preserve"> </w:t>
      </w:r>
    </w:p>
  </w:footnote>
  <w:footnote w:id="16">
    <w:p w:rsidR="00302A7E" w:rsidRPr="008E7303" w:rsidRDefault="00302A7E" w:rsidP="006C6B42">
      <w:pPr>
        <w:pStyle w:val="FootnoteText"/>
        <w:ind w:left="709" w:hanging="709"/>
        <w:rPr>
          <w:rFonts w:ascii="Bookman Old Style" w:hAnsi="Bookman Old Style"/>
        </w:rPr>
      </w:pPr>
      <w:r w:rsidRPr="008E7303">
        <w:rPr>
          <w:rStyle w:val="FootnoteReference"/>
          <w:rFonts w:ascii="Bookman Old Style" w:hAnsi="Bookman Old Style"/>
        </w:rPr>
        <w:footnoteRef/>
      </w:r>
      <w:r w:rsidRPr="008E7303">
        <w:rPr>
          <w:rFonts w:ascii="Bookman Old Style" w:hAnsi="Bookman Old Style"/>
        </w:rPr>
        <w:t xml:space="preserve"> </w:t>
      </w:r>
      <w:r w:rsidRPr="008E7303">
        <w:rPr>
          <w:rFonts w:ascii="Bookman Old Style" w:hAnsi="Bookman Old Style"/>
        </w:rPr>
        <w:tab/>
      </w:r>
      <w:r>
        <w:rPr>
          <w:rFonts w:ascii="Bookman Old Style" w:hAnsi="Bookman Old Style"/>
        </w:rPr>
        <w:tab/>
      </w:r>
      <w:r>
        <w:rPr>
          <w:rFonts w:ascii="Bookman Old Style" w:hAnsi="Bookman Old Style"/>
          <w:i/>
        </w:rPr>
        <w:t>London Graving Dock Co Ltd v</w:t>
      </w:r>
      <w:r w:rsidRPr="008E7303">
        <w:rPr>
          <w:rFonts w:ascii="Bookman Old Style" w:hAnsi="Bookman Old Style"/>
          <w:i/>
        </w:rPr>
        <w:t xml:space="preserve"> Horton</w:t>
      </w:r>
      <w:r w:rsidRPr="008E7303">
        <w:rPr>
          <w:rFonts w:ascii="Bookman Old Style" w:hAnsi="Bookman Old Style"/>
        </w:rPr>
        <w:t xml:space="preserve"> </w:t>
      </w:r>
      <w:r>
        <w:rPr>
          <w:rFonts w:ascii="Bookman Old Style" w:hAnsi="Bookman Old Style"/>
        </w:rPr>
        <w:t>[1951] AC</w:t>
      </w:r>
      <w:r w:rsidRPr="008E7303">
        <w:rPr>
          <w:rFonts w:ascii="Bookman Old Style" w:hAnsi="Bookman Old Style"/>
        </w:rPr>
        <w:t xml:space="preserve"> 737</w:t>
      </w:r>
      <w:r>
        <w:rPr>
          <w:rFonts w:ascii="Bookman Old Style" w:hAnsi="Bookman Old Style"/>
        </w:rPr>
        <w:t xml:space="preserve"> and </w:t>
      </w:r>
      <w:r w:rsidRPr="00CD5AA5">
        <w:rPr>
          <w:rFonts w:ascii="Bookman Old Style" w:hAnsi="Bookman Old Style"/>
          <w:i/>
        </w:rPr>
        <w:t>White v Blackmore</w:t>
      </w:r>
      <w:r w:rsidRPr="00CD5AA5">
        <w:rPr>
          <w:rFonts w:ascii="Bookman Old Style" w:hAnsi="Bookman Old Style"/>
        </w:rPr>
        <w:t xml:space="preserve"> [1972] EWCA Civ 11 (15 June 1972)</w:t>
      </w:r>
      <w:r w:rsidRPr="008E7303">
        <w:rPr>
          <w:rFonts w:ascii="Bookman Old Style" w:hAnsi="Bookman Old Style"/>
        </w:rPr>
        <w:t>.</w:t>
      </w:r>
      <w:r>
        <w:rPr>
          <w:rFonts w:ascii="Bookman Old Style" w:hAnsi="Bookman Old Style"/>
        </w:rPr>
        <w:t xml:space="preserve"> </w:t>
      </w:r>
    </w:p>
  </w:footnote>
  <w:footnote w:id="17">
    <w:p w:rsidR="00302A7E" w:rsidRPr="00C219C3" w:rsidRDefault="00302A7E" w:rsidP="006C6B42">
      <w:pPr>
        <w:pStyle w:val="FootnoteText"/>
        <w:rPr>
          <w:rFonts w:ascii="Bookman Old Style" w:hAnsi="Bookman Old Style"/>
        </w:rPr>
      </w:pPr>
      <w:r w:rsidRPr="006B257E">
        <w:rPr>
          <w:rStyle w:val="FootnoteReference"/>
          <w:rFonts w:ascii="Bookman Old Style" w:hAnsi="Bookman Old Style"/>
        </w:rPr>
        <w:footnoteRef/>
      </w:r>
      <w:r w:rsidRPr="006B257E">
        <w:rPr>
          <w:rFonts w:ascii="Bookman Old Style" w:hAnsi="Bookman Old Style"/>
        </w:rPr>
        <w:t xml:space="preserve">        </w:t>
      </w:r>
      <w:r w:rsidRPr="006B257E">
        <w:rPr>
          <w:rFonts w:ascii="Bookman Old Style" w:hAnsi="Bookman Old Style"/>
        </w:rPr>
        <w:tab/>
        <w:t>See footnote 1</w:t>
      </w:r>
      <w:r w:rsidR="006B257E" w:rsidRPr="006B257E">
        <w:rPr>
          <w:rFonts w:ascii="Bookman Old Style" w:hAnsi="Bookman Old Style"/>
        </w:rPr>
        <w:t>2</w:t>
      </w:r>
      <w:r w:rsidRPr="006B257E">
        <w:rPr>
          <w:rFonts w:ascii="Bookman Old Style" w:hAnsi="Bookman Old Style"/>
        </w:rPr>
        <w:t>.</w:t>
      </w:r>
      <w:r w:rsidRPr="00C219C3">
        <w:rPr>
          <w:rFonts w:ascii="Bookman Old Style" w:hAnsi="Bookman Old Style"/>
        </w:rPr>
        <w:t xml:space="preserve"> </w:t>
      </w:r>
    </w:p>
  </w:footnote>
  <w:footnote w:id="18">
    <w:p w:rsidR="004475F5" w:rsidRPr="00D1338C" w:rsidRDefault="004475F5" w:rsidP="00D1338C">
      <w:pPr>
        <w:pStyle w:val="FootnoteText"/>
        <w:ind w:left="709" w:hanging="709"/>
        <w:rPr>
          <w:rFonts w:ascii="Bookman Old Style" w:hAnsi="Bookman Old Style"/>
        </w:rPr>
      </w:pPr>
      <w:r w:rsidRPr="00D1338C">
        <w:rPr>
          <w:rStyle w:val="FootnoteReference"/>
          <w:rFonts w:ascii="Bookman Old Style" w:hAnsi="Bookman Old Style"/>
        </w:rPr>
        <w:footnoteRef/>
      </w:r>
      <w:r w:rsidRPr="00D1338C">
        <w:rPr>
          <w:rFonts w:ascii="Bookman Old Style" w:hAnsi="Bookman Old Style"/>
        </w:rPr>
        <w:t xml:space="preserve"> </w:t>
      </w:r>
      <w:r w:rsidRPr="00D1338C">
        <w:rPr>
          <w:rFonts w:ascii="Bookman Old Style" w:hAnsi="Bookman Old Style"/>
        </w:rPr>
        <w:tab/>
        <w:t xml:space="preserve">See </w:t>
      </w:r>
      <w:r w:rsidRPr="00D1338C">
        <w:rPr>
          <w:rFonts w:ascii="Bookman Old Style" w:hAnsi="Bookman Old Style"/>
          <w:i/>
        </w:rPr>
        <w:t>Wardley Australia Ltd v Western Australia</w:t>
      </w:r>
      <w:r w:rsidRPr="00D1338C">
        <w:rPr>
          <w:rFonts w:ascii="Bookman Old Style" w:hAnsi="Bookman Old Style"/>
        </w:rPr>
        <w:t xml:space="preserve"> (1992) 175 CLR 514 for discussion on when a cause of action accrues under the TPA. </w:t>
      </w:r>
    </w:p>
  </w:footnote>
  <w:footnote w:id="19">
    <w:p w:rsidR="00EC7463" w:rsidRPr="000A09FE" w:rsidRDefault="00EC7463">
      <w:pPr>
        <w:pStyle w:val="FootnoteText"/>
        <w:rPr>
          <w:rFonts w:ascii="Bookman Old Style" w:hAnsi="Bookman Old Style"/>
        </w:rPr>
      </w:pPr>
      <w:r w:rsidRPr="000A09FE">
        <w:rPr>
          <w:rStyle w:val="FootnoteReference"/>
          <w:rFonts w:ascii="Bookman Old Style" w:hAnsi="Bookman Old Style"/>
        </w:rPr>
        <w:footnoteRef/>
      </w:r>
      <w:r w:rsidRPr="000A09FE">
        <w:rPr>
          <w:rFonts w:ascii="Bookman Old Style" w:hAnsi="Bookman Old Style"/>
        </w:rPr>
        <w:t xml:space="preserve"> </w:t>
      </w:r>
      <w:r w:rsidRPr="000A09FE">
        <w:rPr>
          <w:rFonts w:ascii="Bookman Old Style" w:hAnsi="Bookman Old Style"/>
        </w:rPr>
        <w:tab/>
        <w:t xml:space="preserve">Section 51(xx) of the </w:t>
      </w:r>
      <w:r w:rsidRPr="000A09FE">
        <w:rPr>
          <w:rFonts w:ascii="Bookman Old Style" w:hAnsi="Bookman Old Style"/>
          <w:i/>
        </w:rPr>
        <w:t>Commonwealth of Australia Constitution Act</w:t>
      </w:r>
      <w:r w:rsidRPr="000A09FE">
        <w:rPr>
          <w:rFonts w:ascii="Bookman Old Style" w:hAnsi="Bookman Old Style"/>
        </w:rPr>
        <w:t xml:space="preserve">. </w:t>
      </w:r>
    </w:p>
  </w:footnote>
  <w:footnote w:id="20">
    <w:p w:rsidR="00302A7E" w:rsidRPr="007E61D8" w:rsidRDefault="00302A7E" w:rsidP="007E61D8">
      <w:pPr>
        <w:pStyle w:val="FootnoteText"/>
        <w:ind w:left="567" w:hanging="567"/>
        <w:rPr>
          <w:rFonts w:ascii="Bookman Old Style" w:hAnsi="Bookman Old Style"/>
        </w:rPr>
      </w:pPr>
      <w:r w:rsidRPr="007E61D8">
        <w:rPr>
          <w:rStyle w:val="FootnoteReference"/>
          <w:rFonts w:ascii="Bookman Old Style" w:hAnsi="Bookman Old Style"/>
        </w:rPr>
        <w:footnoteRef/>
      </w:r>
      <w:r w:rsidRPr="007E61D8">
        <w:rPr>
          <w:rFonts w:ascii="Bookman Old Style" w:hAnsi="Bookman Old Style"/>
        </w:rPr>
        <w:t xml:space="preserve"> </w:t>
      </w:r>
      <w:r w:rsidRPr="007E61D8">
        <w:rPr>
          <w:rFonts w:ascii="Bookman Old Style" w:hAnsi="Bookman Old Style"/>
        </w:rPr>
        <w:tab/>
      </w:r>
      <w:r w:rsidRPr="007E61D8">
        <w:rPr>
          <w:rFonts w:ascii="Bookman Old Style" w:hAnsi="Bookman Old Style"/>
          <w:i/>
        </w:rPr>
        <w:t xml:space="preserve">Motorcycling Events Group Australia Pty Limited v Kelly </w:t>
      </w:r>
      <w:r w:rsidRPr="007E61D8">
        <w:rPr>
          <w:rFonts w:ascii="Bookman Old Style" w:hAnsi="Bookman Old Style"/>
        </w:rPr>
        <w:t xml:space="preserve">[2013] NSWCA 361 and </w:t>
      </w:r>
      <w:r w:rsidRPr="007E61D8">
        <w:rPr>
          <w:rFonts w:ascii="Bookman Old Style" w:hAnsi="Bookman Old Style"/>
          <w:i/>
        </w:rPr>
        <w:t xml:space="preserve">Alameddine v Glenworth Valley Horse Riding Pty Limited </w:t>
      </w:r>
      <w:r w:rsidRPr="007E61D8">
        <w:rPr>
          <w:rFonts w:ascii="Bookman Old Style" w:hAnsi="Bookman Old Style"/>
        </w:rPr>
        <w:t xml:space="preserve">[2015] NSWCA 219. </w:t>
      </w:r>
    </w:p>
  </w:footnote>
  <w:footnote w:id="21">
    <w:p w:rsidR="00302A7E" w:rsidRPr="00CB74FD" w:rsidRDefault="00302A7E">
      <w:pPr>
        <w:pStyle w:val="FootnoteText"/>
        <w:rPr>
          <w:rFonts w:ascii="Bookman Old Style" w:hAnsi="Bookman Old Style"/>
        </w:rPr>
      </w:pPr>
      <w:r w:rsidRPr="00CB74FD">
        <w:rPr>
          <w:rStyle w:val="FootnoteReference"/>
          <w:rFonts w:ascii="Bookman Old Style" w:hAnsi="Bookman Old Style"/>
        </w:rPr>
        <w:footnoteRef/>
      </w:r>
      <w:r w:rsidRPr="00CB74FD">
        <w:rPr>
          <w:rFonts w:ascii="Bookman Old Style" w:hAnsi="Bookman Old Style"/>
        </w:rPr>
        <w:t xml:space="preserve">      </w:t>
      </w:r>
      <w:r w:rsidRPr="00CB74FD">
        <w:rPr>
          <w:rFonts w:ascii="Bookman Old Style" w:hAnsi="Bookman Old Style"/>
          <w:i/>
        </w:rPr>
        <w:t xml:space="preserve">Insight Vacations Pty Limited v Young </w:t>
      </w:r>
      <w:r w:rsidRPr="00CB74FD">
        <w:rPr>
          <w:rFonts w:ascii="Bookman Old Style" w:hAnsi="Bookman Old Style"/>
        </w:rPr>
        <w:t xml:space="preserve">[2011] HCA 16. </w:t>
      </w:r>
    </w:p>
  </w:footnote>
  <w:footnote w:id="22">
    <w:p w:rsidR="002343B4" w:rsidRPr="002343B4" w:rsidRDefault="002343B4" w:rsidP="002343B4">
      <w:pPr>
        <w:pStyle w:val="FootnoteText"/>
        <w:ind w:left="709" w:hanging="709"/>
        <w:rPr>
          <w:rFonts w:ascii="Bookman Old Style" w:hAnsi="Bookman Old Style"/>
        </w:rPr>
      </w:pPr>
      <w:r w:rsidRPr="002343B4">
        <w:rPr>
          <w:rStyle w:val="FootnoteReference"/>
          <w:rFonts w:ascii="Bookman Old Style" w:hAnsi="Bookman Old Style"/>
        </w:rPr>
        <w:footnoteRef/>
      </w:r>
      <w:r w:rsidRPr="002343B4">
        <w:rPr>
          <w:rFonts w:ascii="Bookman Old Style" w:hAnsi="Bookman Old Style"/>
        </w:rPr>
        <w:t xml:space="preserve"> </w:t>
      </w:r>
      <w:r w:rsidRPr="002343B4">
        <w:rPr>
          <w:rFonts w:ascii="Bookman Old Style" w:hAnsi="Bookman Old Style"/>
        </w:rPr>
        <w:tab/>
      </w:r>
      <w:r w:rsidRPr="002343B4">
        <w:rPr>
          <w:rFonts w:ascii="Bookman Old Style" w:hAnsi="Bookman Old Style"/>
          <w:i/>
        </w:rPr>
        <w:t>Alameddine v Glenworth Valley Horse Riding Pty Ltd</w:t>
      </w:r>
      <w:r w:rsidRPr="002343B4">
        <w:rPr>
          <w:rFonts w:ascii="Bookman Old Style" w:hAnsi="Bookman Old Style"/>
        </w:rPr>
        <w:t xml:space="preserve"> [2015] NSWCA 219</w:t>
      </w:r>
      <w:r>
        <w:rPr>
          <w:rFonts w:ascii="Bookman Old Style" w:hAnsi="Bookman Old Style"/>
        </w:rPr>
        <w:t xml:space="preserve"> at [72] – “</w:t>
      </w:r>
      <w:r w:rsidRPr="002343B4">
        <w:rPr>
          <w:rFonts w:ascii="Bookman Old Style" w:hAnsi="Bookman Old Style"/>
        </w:rPr>
        <w:t xml:space="preserve">The </w:t>
      </w:r>
      <w:r w:rsidRPr="002343B4">
        <w:rPr>
          <w:rFonts w:ascii="Bookman Old Style" w:hAnsi="Bookman Old Style"/>
          <w:i/>
          <w:iCs/>
        </w:rPr>
        <w:t xml:space="preserve">Competition and Consumer Act </w:t>
      </w:r>
      <w:r w:rsidRPr="002343B4">
        <w:rPr>
          <w:rFonts w:ascii="Bookman Old Style" w:hAnsi="Bookman Old Style"/>
        </w:rPr>
        <w:t xml:space="preserve">provides for compensation in respect of causes of action arising under that Act. It does not purport to, nor have the effect of, excluding recovery of non-economic loss damages under the </w:t>
      </w:r>
      <w:r w:rsidRPr="002343B4">
        <w:rPr>
          <w:rFonts w:ascii="Bookman Old Style" w:hAnsi="Bookman Old Style"/>
          <w:i/>
          <w:iCs/>
        </w:rPr>
        <w:t>Civil Liability Act</w:t>
      </w:r>
      <w:r w:rsidRPr="002343B4">
        <w:rPr>
          <w:rFonts w:ascii="Bookman Old Style" w:hAnsi="Bookman Old Style"/>
        </w:rPr>
        <w:t xml:space="preserve">, notwithstanding that the causes of action may arise out of the same factual circumstances. On my findings, the appellant’s causes of action are available to her under both Acts. She is entitled to choose that which is more favourable, being that which is available under the </w:t>
      </w:r>
      <w:r w:rsidRPr="002343B4">
        <w:rPr>
          <w:rFonts w:ascii="Bookman Old Style" w:hAnsi="Bookman Old Style"/>
          <w:i/>
          <w:iCs/>
        </w:rPr>
        <w:t>Civil Liability Act</w:t>
      </w:r>
      <w:r>
        <w:rPr>
          <w:rFonts w:ascii="Bookman Old Style" w:hAnsi="Bookman Old Style"/>
        </w:rPr>
        <w:t>”</w:t>
      </w:r>
      <w:r w:rsidRPr="002343B4">
        <w:rPr>
          <w:rFonts w:ascii="Bookman Old Style" w:hAnsi="Bookman Old Style"/>
        </w:rPr>
        <w:t>.</w:t>
      </w:r>
    </w:p>
  </w:footnote>
  <w:footnote w:id="23">
    <w:p w:rsidR="00084FFA" w:rsidRPr="00631D1A" w:rsidRDefault="00084FFA" w:rsidP="00084FFA">
      <w:pPr>
        <w:pStyle w:val="FootnoteText"/>
        <w:ind w:left="709" w:hanging="709"/>
        <w:rPr>
          <w:rFonts w:ascii="Bookman Old Style" w:hAnsi="Bookman Old Style"/>
        </w:rPr>
      </w:pPr>
      <w:r w:rsidRPr="00631D1A">
        <w:rPr>
          <w:rStyle w:val="FootnoteReference"/>
          <w:rFonts w:ascii="Bookman Old Style" w:hAnsi="Bookman Old Style"/>
        </w:rPr>
        <w:footnoteRef/>
      </w:r>
      <w:r w:rsidRPr="00631D1A">
        <w:rPr>
          <w:rFonts w:ascii="Bookman Old Style" w:hAnsi="Bookman Old Style"/>
        </w:rPr>
        <w:t xml:space="preserve"> </w:t>
      </w:r>
      <w:r w:rsidRPr="00631D1A">
        <w:rPr>
          <w:rFonts w:ascii="Bookman Old Style" w:hAnsi="Bookman Old Style"/>
        </w:rPr>
        <w:tab/>
        <w:t xml:space="preserve">As it is under Victorian Law: see section </w:t>
      </w:r>
      <w:proofErr w:type="spellStart"/>
      <w:r w:rsidRPr="00631D1A">
        <w:rPr>
          <w:rFonts w:ascii="Bookman Old Style" w:hAnsi="Bookman Old Style"/>
        </w:rPr>
        <w:t>27</w:t>
      </w:r>
      <w:proofErr w:type="gramStart"/>
      <w:r w:rsidRPr="00631D1A">
        <w:rPr>
          <w:rFonts w:ascii="Bookman Old Style" w:hAnsi="Bookman Old Style"/>
        </w:rPr>
        <w:t>B</w:t>
      </w:r>
      <w:proofErr w:type="spellEnd"/>
      <w:r w:rsidRPr="00631D1A">
        <w:rPr>
          <w:rFonts w:ascii="Bookman Old Style" w:hAnsi="Bookman Old Style"/>
        </w:rPr>
        <w:t>(</w:t>
      </w:r>
      <w:proofErr w:type="gramEnd"/>
      <w:r w:rsidRPr="00631D1A">
        <w:rPr>
          <w:rFonts w:ascii="Bookman Old Style" w:hAnsi="Bookman Old Style"/>
        </w:rPr>
        <w:t xml:space="preserve">4) of the </w:t>
      </w:r>
      <w:r w:rsidRPr="00631D1A">
        <w:rPr>
          <w:rFonts w:ascii="Bookman Old Style" w:hAnsi="Bookman Old Style"/>
          <w:i/>
        </w:rPr>
        <w:t xml:space="preserve">Limitation of Actions Act 1958 (Vic). </w:t>
      </w:r>
      <w:r w:rsidRPr="00631D1A">
        <w:rPr>
          <w:rFonts w:ascii="Bookman Old Style" w:hAnsi="Bookman Old Styl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547D2"/>
    <w:multiLevelType w:val="hybridMultilevel"/>
    <w:tmpl w:val="F022D04C"/>
    <w:lvl w:ilvl="0" w:tplc="6C30DA78">
      <w:start w:val="1"/>
      <w:numFmt w:val="bullet"/>
      <w:lvlText w:val=""/>
      <w:lvlJc w:val="left"/>
      <w:pPr>
        <w:tabs>
          <w:tab w:val="num" w:pos="720"/>
        </w:tabs>
        <w:ind w:left="720" w:hanging="360"/>
      </w:pPr>
      <w:rPr>
        <w:rFonts w:ascii="Wingdings 3" w:hAnsi="Wingdings 3" w:hint="default"/>
      </w:rPr>
    </w:lvl>
    <w:lvl w:ilvl="1" w:tplc="A76EBC44" w:tentative="1">
      <w:start w:val="1"/>
      <w:numFmt w:val="bullet"/>
      <w:lvlText w:val=""/>
      <w:lvlJc w:val="left"/>
      <w:pPr>
        <w:tabs>
          <w:tab w:val="num" w:pos="1440"/>
        </w:tabs>
        <w:ind w:left="1440" w:hanging="360"/>
      </w:pPr>
      <w:rPr>
        <w:rFonts w:ascii="Wingdings 3" w:hAnsi="Wingdings 3" w:hint="default"/>
      </w:rPr>
    </w:lvl>
    <w:lvl w:ilvl="2" w:tplc="F36633EC" w:tentative="1">
      <w:start w:val="1"/>
      <w:numFmt w:val="bullet"/>
      <w:lvlText w:val=""/>
      <w:lvlJc w:val="left"/>
      <w:pPr>
        <w:tabs>
          <w:tab w:val="num" w:pos="2160"/>
        </w:tabs>
        <w:ind w:left="2160" w:hanging="360"/>
      </w:pPr>
      <w:rPr>
        <w:rFonts w:ascii="Wingdings 3" w:hAnsi="Wingdings 3" w:hint="default"/>
      </w:rPr>
    </w:lvl>
    <w:lvl w:ilvl="3" w:tplc="406001FA" w:tentative="1">
      <w:start w:val="1"/>
      <w:numFmt w:val="bullet"/>
      <w:lvlText w:val=""/>
      <w:lvlJc w:val="left"/>
      <w:pPr>
        <w:tabs>
          <w:tab w:val="num" w:pos="2880"/>
        </w:tabs>
        <w:ind w:left="2880" w:hanging="360"/>
      </w:pPr>
      <w:rPr>
        <w:rFonts w:ascii="Wingdings 3" w:hAnsi="Wingdings 3" w:hint="default"/>
      </w:rPr>
    </w:lvl>
    <w:lvl w:ilvl="4" w:tplc="45FE733A" w:tentative="1">
      <w:start w:val="1"/>
      <w:numFmt w:val="bullet"/>
      <w:lvlText w:val=""/>
      <w:lvlJc w:val="left"/>
      <w:pPr>
        <w:tabs>
          <w:tab w:val="num" w:pos="3600"/>
        </w:tabs>
        <w:ind w:left="3600" w:hanging="360"/>
      </w:pPr>
      <w:rPr>
        <w:rFonts w:ascii="Wingdings 3" w:hAnsi="Wingdings 3" w:hint="default"/>
      </w:rPr>
    </w:lvl>
    <w:lvl w:ilvl="5" w:tplc="FF5ACB6A" w:tentative="1">
      <w:start w:val="1"/>
      <w:numFmt w:val="bullet"/>
      <w:lvlText w:val=""/>
      <w:lvlJc w:val="left"/>
      <w:pPr>
        <w:tabs>
          <w:tab w:val="num" w:pos="4320"/>
        </w:tabs>
        <w:ind w:left="4320" w:hanging="360"/>
      </w:pPr>
      <w:rPr>
        <w:rFonts w:ascii="Wingdings 3" w:hAnsi="Wingdings 3" w:hint="default"/>
      </w:rPr>
    </w:lvl>
    <w:lvl w:ilvl="6" w:tplc="47CA61C0" w:tentative="1">
      <w:start w:val="1"/>
      <w:numFmt w:val="bullet"/>
      <w:lvlText w:val=""/>
      <w:lvlJc w:val="left"/>
      <w:pPr>
        <w:tabs>
          <w:tab w:val="num" w:pos="5040"/>
        </w:tabs>
        <w:ind w:left="5040" w:hanging="360"/>
      </w:pPr>
      <w:rPr>
        <w:rFonts w:ascii="Wingdings 3" w:hAnsi="Wingdings 3" w:hint="default"/>
      </w:rPr>
    </w:lvl>
    <w:lvl w:ilvl="7" w:tplc="5A0CEF54" w:tentative="1">
      <w:start w:val="1"/>
      <w:numFmt w:val="bullet"/>
      <w:lvlText w:val=""/>
      <w:lvlJc w:val="left"/>
      <w:pPr>
        <w:tabs>
          <w:tab w:val="num" w:pos="5760"/>
        </w:tabs>
        <w:ind w:left="5760" w:hanging="360"/>
      </w:pPr>
      <w:rPr>
        <w:rFonts w:ascii="Wingdings 3" w:hAnsi="Wingdings 3" w:hint="default"/>
      </w:rPr>
    </w:lvl>
    <w:lvl w:ilvl="8" w:tplc="02280D0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5D9200E6"/>
    <w:multiLevelType w:val="hybridMultilevel"/>
    <w:tmpl w:val="5D4C9D28"/>
    <w:lvl w:ilvl="0" w:tplc="DFDA3188">
      <w:start w:val="1"/>
      <w:numFmt w:val="decimal"/>
      <w:lvlText w:val="%1."/>
      <w:lvlJc w:val="left"/>
      <w:pPr>
        <w:ind w:left="1440" w:hanging="360"/>
      </w:pPr>
      <w:rPr>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6A336ECC"/>
    <w:multiLevelType w:val="hybridMultilevel"/>
    <w:tmpl w:val="6DC829DA"/>
    <w:lvl w:ilvl="0" w:tplc="DFDA3188">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33E6BB4"/>
    <w:multiLevelType w:val="hybridMultilevel"/>
    <w:tmpl w:val="67F0E6C4"/>
    <w:lvl w:ilvl="0" w:tplc="2326C0AA">
      <w:start w:val="1"/>
      <w:numFmt w:val="decimal"/>
      <w:lvlText w:val="%1."/>
      <w:lvlJc w:val="left"/>
      <w:pPr>
        <w:ind w:left="720" w:hanging="360"/>
      </w:pPr>
      <w:rPr>
        <w:b w:val="0"/>
      </w:rPr>
    </w:lvl>
    <w:lvl w:ilvl="1" w:tplc="5E881B00">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E6"/>
    <w:rsid w:val="00002AEE"/>
    <w:rsid w:val="00004009"/>
    <w:rsid w:val="00005311"/>
    <w:rsid w:val="00006AA0"/>
    <w:rsid w:val="000200B6"/>
    <w:rsid w:val="00022E19"/>
    <w:rsid w:val="00023B47"/>
    <w:rsid w:val="0002537F"/>
    <w:rsid w:val="00035FD1"/>
    <w:rsid w:val="00041E51"/>
    <w:rsid w:val="00061C55"/>
    <w:rsid w:val="000635E2"/>
    <w:rsid w:val="00064CC4"/>
    <w:rsid w:val="0007437F"/>
    <w:rsid w:val="00084FFA"/>
    <w:rsid w:val="0008635D"/>
    <w:rsid w:val="00087EC3"/>
    <w:rsid w:val="00092B63"/>
    <w:rsid w:val="00094EE6"/>
    <w:rsid w:val="00097399"/>
    <w:rsid w:val="000A00DA"/>
    <w:rsid w:val="000A09FE"/>
    <w:rsid w:val="000A1650"/>
    <w:rsid w:val="000A4BD5"/>
    <w:rsid w:val="000A4FBA"/>
    <w:rsid w:val="000A62AA"/>
    <w:rsid w:val="000A7A17"/>
    <w:rsid w:val="000B0974"/>
    <w:rsid w:val="000B13BB"/>
    <w:rsid w:val="000B73F8"/>
    <w:rsid w:val="000C0501"/>
    <w:rsid w:val="000C4245"/>
    <w:rsid w:val="000C6232"/>
    <w:rsid w:val="000C6CFD"/>
    <w:rsid w:val="000D4E1A"/>
    <w:rsid w:val="000D55CC"/>
    <w:rsid w:val="000E0CE0"/>
    <w:rsid w:val="000E6942"/>
    <w:rsid w:val="000F480B"/>
    <w:rsid w:val="000F4E6B"/>
    <w:rsid w:val="000F4EA3"/>
    <w:rsid w:val="000F5B84"/>
    <w:rsid w:val="000F5E42"/>
    <w:rsid w:val="0010412C"/>
    <w:rsid w:val="0010461C"/>
    <w:rsid w:val="001161AA"/>
    <w:rsid w:val="001377FD"/>
    <w:rsid w:val="0014226B"/>
    <w:rsid w:val="00145F54"/>
    <w:rsid w:val="001471F2"/>
    <w:rsid w:val="001555DC"/>
    <w:rsid w:val="001578CF"/>
    <w:rsid w:val="00166BE4"/>
    <w:rsid w:val="001756C8"/>
    <w:rsid w:val="001809B2"/>
    <w:rsid w:val="0019513F"/>
    <w:rsid w:val="00197E6D"/>
    <w:rsid w:val="001A2D3A"/>
    <w:rsid w:val="001A57E6"/>
    <w:rsid w:val="001B45E5"/>
    <w:rsid w:val="001D463D"/>
    <w:rsid w:val="001D560E"/>
    <w:rsid w:val="001F0F3D"/>
    <w:rsid w:val="001F36DC"/>
    <w:rsid w:val="002015D5"/>
    <w:rsid w:val="002072F0"/>
    <w:rsid w:val="00212C24"/>
    <w:rsid w:val="002343B4"/>
    <w:rsid w:val="00237A9A"/>
    <w:rsid w:val="002427CE"/>
    <w:rsid w:val="00246AA8"/>
    <w:rsid w:val="0025432D"/>
    <w:rsid w:val="002665C8"/>
    <w:rsid w:val="002774F1"/>
    <w:rsid w:val="00284FC4"/>
    <w:rsid w:val="00287B0B"/>
    <w:rsid w:val="00290711"/>
    <w:rsid w:val="00290B98"/>
    <w:rsid w:val="00292247"/>
    <w:rsid w:val="00292C73"/>
    <w:rsid w:val="00292F8F"/>
    <w:rsid w:val="002D0D63"/>
    <w:rsid w:val="002D60F8"/>
    <w:rsid w:val="002D6B29"/>
    <w:rsid w:val="002E2095"/>
    <w:rsid w:val="002E2336"/>
    <w:rsid w:val="002E335F"/>
    <w:rsid w:val="002E3D6E"/>
    <w:rsid w:val="002E45D4"/>
    <w:rsid w:val="002E6411"/>
    <w:rsid w:val="00302A7E"/>
    <w:rsid w:val="003042A1"/>
    <w:rsid w:val="003202A3"/>
    <w:rsid w:val="003319D7"/>
    <w:rsid w:val="00334302"/>
    <w:rsid w:val="003460F6"/>
    <w:rsid w:val="00346824"/>
    <w:rsid w:val="00355654"/>
    <w:rsid w:val="00357921"/>
    <w:rsid w:val="003602DC"/>
    <w:rsid w:val="00365DFE"/>
    <w:rsid w:val="00373880"/>
    <w:rsid w:val="0038081F"/>
    <w:rsid w:val="003958FC"/>
    <w:rsid w:val="003A343C"/>
    <w:rsid w:val="003A41BE"/>
    <w:rsid w:val="003A4E14"/>
    <w:rsid w:val="003B0514"/>
    <w:rsid w:val="003B190C"/>
    <w:rsid w:val="003B2C22"/>
    <w:rsid w:val="003B395E"/>
    <w:rsid w:val="003C1217"/>
    <w:rsid w:val="003C1A76"/>
    <w:rsid w:val="003C5DBA"/>
    <w:rsid w:val="003D27A1"/>
    <w:rsid w:val="003D4519"/>
    <w:rsid w:val="003E4604"/>
    <w:rsid w:val="003E53D0"/>
    <w:rsid w:val="003E7470"/>
    <w:rsid w:val="003E7FC8"/>
    <w:rsid w:val="003F59C8"/>
    <w:rsid w:val="003F7AF4"/>
    <w:rsid w:val="0040115C"/>
    <w:rsid w:val="00402144"/>
    <w:rsid w:val="00404D6E"/>
    <w:rsid w:val="00412EFC"/>
    <w:rsid w:val="004160BB"/>
    <w:rsid w:val="004234D9"/>
    <w:rsid w:val="004263E1"/>
    <w:rsid w:val="004304B9"/>
    <w:rsid w:val="004327D3"/>
    <w:rsid w:val="004402B7"/>
    <w:rsid w:val="00441979"/>
    <w:rsid w:val="004475F5"/>
    <w:rsid w:val="004505A4"/>
    <w:rsid w:val="00451883"/>
    <w:rsid w:val="00452150"/>
    <w:rsid w:val="0046258A"/>
    <w:rsid w:val="00466E0A"/>
    <w:rsid w:val="004732CC"/>
    <w:rsid w:val="00482CAA"/>
    <w:rsid w:val="00486028"/>
    <w:rsid w:val="00487513"/>
    <w:rsid w:val="0049404A"/>
    <w:rsid w:val="004A31D7"/>
    <w:rsid w:val="004A7988"/>
    <w:rsid w:val="004B093F"/>
    <w:rsid w:val="004B4D35"/>
    <w:rsid w:val="004B5EC4"/>
    <w:rsid w:val="004C09D1"/>
    <w:rsid w:val="004C14D0"/>
    <w:rsid w:val="004C1D3A"/>
    <w:rsid w:val="004C31BC"/>
    <w:rsid w:val="004C4588"/>
    <w:rsid w:val="004E088F"/>
    <w:rsid w:val="004E13F8"/>
    <w:rsid w:val="004E2EDD"/>
    <w:rsid w:val="004E4AC3"/>
    <w:rsid w:val="004F2E2F"/>
    <w:rsid w:val="004F563D"/>
    <w:rsid w:val="0050256B"/>
    <w:rsid w:val="00504C72"/>
    <w:rsid w:val="005061E7"/>
    <w:rsid w:val="00506259"/>
    <w:rsid w:val="00506676"/>
    <w:rsid w:val="0051153F"/>
    <w:rsid w:val="0051281D"/>
    <w:rsid w:val="00520739"/>
    <w:rsid w:val="00525518"/>
    <w:rsid w:val="005412F8"/>
    <w:rsid w:val="005447F0"/>
    <w:rsid w:val="00546B50"/>
    <w:rsid w:val="0054709F"/>
    <w:rsid w:val="00547452"/>
    <w:rsid w:val="0055306C"/>
    <w:rsid w:val="005625BE"/>
    <w:rsid w:val="00572DAB"/>
    <w:rsid w:val="00573768"/>
    <w:rsid w:val="00574019"/>
    <w:rsid w:val="00581073"/>
    <w:rsid w:val="00583AAE"/>
    <w:rsid w:val="00584881"/>
    <w:rsid w:val="00586346"/>
    <w:rsid w:val="005A0884"/>
    <w:rsid w:val="005A293A"/>
    <w:rsid w:val="005B7B4E"/>
    <w:rsid w:val="005C6FB3"/>
    <w:rsid w:val="005C7376"/>
    <w:rsid w:val="005C7FD0"/>
    <w:rsid w:val="005D0866"/>
    <w:rsid w:val="005D1224"/>
    <w:rsid w:val="005D404C"/>
    <w:rsid w:val="005D43ED"/>
    <w:rsid w:val="005D6B8B"/>
    <w:rsid w:val="005D7BD8"/>
    <w:rsid w:val="005E00E6"/>
    <w:rsid w:val="005E705B"/>
    <w:rsid w:val="005F59CF"/>
    <w:rsid w:val="005F7A39"/>
    <w:rsid w:val="00602095"/>
    <w:rsid w:val="006046D6"/>
    <w:rsid w:val="00604B02"/>
    <w:rsid w:val="0061440C"/>
    <w:rsid w:val="00616394"/>
    <w:rsid w:val="00631D1A"/>
    <w:rsid w:val="00632BE6"/>
    <w:rsid w:val="00640D19"/>
    <w:rsid w:val="0064222B"/>
    <w:rsid w:val="00643FC7"/>
    <w:rsid w:val="006568D9"/>
    <w:rsid w:val="00660BD8"/>
    <w:rsid w:val="0066403C"/>
    <w:rsid w:val="00674A62"/>
    <w:rsid w:val="00675E6E"/>
    <w:rsid w:val="00683ECA"/>
    <w:rsid w:val="00686408"/>
    <w:rsid w:val="00693C0F"/>
    <w:rsid w:val="006B1F88"/>
    <w:rsid w:val="006B257E"/>
    <w:rsid w:val="006B42D1"/>
    <w:rsid w:val="006B72F3"/>
    <w:rsid w:val="006C49BA"/>
    <w:rsid w:val="006C6B42"/>
    <w:rsid w:val="006D67BB"/>
    <w:rsid w:val="006E43EE"/>
    <w:rsid w:val="006E72F0"/>
    <w:rsid w:val="006F0248"/>
    <w:rsid w:val="006F3AD5"/>
    <w:rsid w:val="006F6620"/>
    <w:rsid w:val="007019BA"/>
    <w:rsid w:val="00704051"/>
    <w:rsid w:val="00715014"/>
    <w:rsid w:val="00722121"/>
    <w:rsid w:val="00723B5B"/>
    <w:rsid w:val="00723F3B"/>
    <w:rsid w:val="0072493A"/>
    <w:rsid w:val="007275ED"/>
    <w:rsid w:val="00731252"/>
    <w:rsid w:val="007334EB"/>
    <w:rsid w:val="00734CDC"/>
    <w:rsid w:val="00734F83"/>
    <w:rsid w:val="00735933"/>
    <w:rsid w:val="0073693F"/>
    <w:rsid w:val="007478C7"/>
    <w:rsid w:val="0075546D"/>
    <w:rsid w:val="00761123"/>
    <w:rsid w:val="007647F7"/>
    <w:rsid w:val="00764F5C"/>
    <w:rsid w:val="007720CA"/>
    <w:rsid w:val="00785F02"/>
    <w:rsid w:val="007A01E8"/>
    <w:rsid w:val="007A192E"/>
    <w:rsid w:val="007A2054"/>
    <w:rsid w:val="007B6404"/>
    <w:rsid w:val="007C34DC"/>
    <w:rsid w:val="007C4E61"/>
    <w:rsid w:val="007E3E2D"/>
    <w:rsid w:val="007E61D8"/>
    <w:rsid w:val="007F0470"/>
    <w:rsid w:val="007F1F55"/>
    <w:rsid w:val="007F397D"/>
    <w:rsid w:val="007F5874"/>
    <w:rsid w:val="0080375A"/>
    <w:rsid w:val="008053D4"/>
    <w:rsid w:val="0081699C"/>
    <w:rsid w:val="00824A81"/>
    <w:rsid w:val="008336FC"/>
    <w:rsid w:val="008425B5"/>
    <w:rsid w:val="00851143"/>
    <w:rsid w:val="00864B17"/>
    <w:rsid w:val="00873A51"/>
    <w:rsid w:val="00874095"/>
    <w:rsid w:val="008771EF"/>
    <w:rsid w:val="008801C9"/>
    <w:rsid w:val="00890041"/>
    <w:rsid w:val="008A53D6"/>
    <w:rsid w:val="008A630C"/>
    <w:rsid w:val="008C610F"/>
    <w:rsid w:val="008C79A7"/>
    <w:rsid w:val="008F0076"/>
    <w:rsid w:val="008F0936"/>
    <w:rsid w:val="008F367A"/>
    <w:rsid w:val="008F3908"/>
    <w:rsid w:val="00904422"/>
    <w:rsid w:val="00915693"/>
    <w:rsid w:val="009213E0"/>
    <w:rsid w:val="00923A5A"/>
    <w:rsid w:val="00925C26"/>
    <w:rsid w:val="00936967"/>
    <w:rsid w:val="00940059"/>
    <w:rsid w:val="009402B2"/>
    <w:rsid w:val="00955381"/>
    <w:rsid w:val="00957C3B"/>
    <w:rsid w:val="00964A09"/>
    <w:rsid w:val="00965C74"/>
    <w:rsid w:val="00981F7D"/>
    <w:rsid w:val="00984BC1"/>
    <w:rsid w:val="009921C5"/>
    <w:rsid w:val="00993F6B"/>
    <w:rsid w:val="009A425C"/>
    <w:rsid w:val="009A6619"/>
    <w:rsid w:val="009A7712"/>
    <w:rsid w:val="009B6D55"/>
    <w:rsid w:val="009C3F96"/>
    <w:rsid w:val="009D49BE"/>
    <w:rsid w:val="009D5814"/>
    <w:rsid w:val="009E163C"/>
    <w:rsid w:val="009E53A0"/>
    <w:rsid w:val="009F3C8A"/>
    <w:rsid w:val="009F4468"/>
    <w:rsid w:val="00A0527D"/>
    <w:rsid w:val="00A22088"/>
    <w:rsid w:val="00A30341"/>
    <w:rsid w:val="00A34B64"/>
    <w:rsid w:val="00A3584F"/>
    <w:rsid w:val="00A415C6"/>
    <w:rsid w:val="00A506D0"/>
    <w:rsid w:val="00A50855"/>
    <w:rsid w:val="00A563A2"/>
    <w:rsid w:val="00A56989"/>
    <w:rsid w:val="00A67A79"/>
    <w:rsid w:val="00A71ED5"/>
    <w:rsid w:val="00A77464"/>
    <w:rsid w:val="00A777A7"/>
    <w:rsid w:val="00A80BE7"/>
    <w:rsid w:val="00A815DC"/>
    <w:rsid w:val="00A8523D"/>
    <w:rsid w:val="00A90CCE"/>
    <w:rsid w:val="00A952CD"/>
    <w:rsid w:val="00A96DD7"/>
    <w:rsid w:val="00A97C65"/>
    <w:rsid w:val="00AA06A5"/>
    <w:rsid w:val="00AA0CDB"/>
    <w:rsid w:val="00AA2071"/>
    <w:rsid w:val="00AA547C"/>
    <w:rsid w:val="00AA655B"/>
    <w:rsid w:val="00AC04A8"/>
    <w:rsid w:val="00AC0D81"/>
    <w:rsid w:val="00AC1A66"/>
    <w:rsid w:val="00AC3DB5"/>
    <w:rsid w:val="00AD22D6"/>
    <w:rsid w:val="00AD7EDE"/>
    <w:rsid w:val="00AE41A8"/>
    <w:rsid w:val="00AE6C32"/>
    <w:rsid w:val="00AF522E"/>
    <w:rsid w:val="00B0142D"/>
    <w:rsid w:val="00B04086"/>
    <w:rsid w:val="00B16823"/>
    <w:rsid w:val="00B17B0A"/>
    <w:rsid w:val="00B22CAA"/>
    <w:rsid w:val="00B2337C"/>
    <w:rsid w:val="00B30CE1"/>
    <w:rsid w:val="00B30E7E"/>
    <w:rsid w:val="00B360F4"/>
    <w:rsid w:val="00B3618E"/>
    <w:rsid w:val="00B37DF4"/>
    <w:rsid w:val="00B4238A"/>
    <w:rsid w:val="00B4613F"/>
    <w:rsid w:val="00B46871"/>
    <w:rsid w:val="00B50216"/>
    <w:rsid w:val="00B67F53"/>
    <w:rsid w:val="00B70566"/>
    <w:rsid w:val="00B721F6"/>
    <w:rsid w:val="00B737E8"/>
    <w:rsid w:val="00B75B0A"/>
    <w:rsid w:val="00B87FC4"/>
    <w:rsid w:val="00B94263"/>
    <w:rsid w:val="00BA22F7"/>
    <w:rsid w:val="00BA2436"/>
    <w:rsid w:val="00BA7136"/>
    <w:rsid w:val="00BB5FAE"/>
    <w:rsid w:val="00BC2AD6"/>
    <w:rsid w:val="00BC31F3"/>
    <w:rsid w:val="00BC3D4E"/>
    <w:rsid w:val="00BC7362"/>
    <w:rsid w:val="00BD0424"/>
    <w:rsid w:val="00BD0902"/>
    <w:rsid w:val="00BD7B82"/>
    <w:rsid w:val="00BE52B0"/>
    <w:rsid w:val="00BE5301"/>
    <w:rsid w:val="00BF1F59"/>
    <w:rsid w:val="00BF4ACB"/>
    <w:rsid w:val="00BF7079"/>
    <w:rsid w:val="00BF761F"/>
    <w:rsid w:val="00C0125B"/>
    <w:rsid w:val="00C03978"/>
    <w:rsid w:val="00C103A6"/>
    <w:rsid w:val="00C10430"/>
    <w:rsid w:val="00C110E6"/>
    <w:rsid w:val="00C12ACC"/>
    <w:rsid w:val="00C147CE"/>
    <w:rsid w:val="00C159C2"/>
    <w:rsid w:val="00C15FB6"/>
    <w:rsid w:val="00C16455"/>
    <w:rsid w:val="00C1740A"/>
    <w:rsid w:val="00C206CF"/>
    <w:rsid w:val="00C20E0A"/>
    <w:rsid w:val="00C261EE"/>
    <w:rsid w:val="00C34843"/>
    <w:rsid w:val="00C407AD"/>
    <w:rsid w:val="00C42373"/>
    <w:rsid w:val="00C46907"/>
    <w:rsid w:val="00C6026D"/>
    <w:rsid w:val="00C62EDD"/>
    <w:rsid w:val="00C67DBA"/>
    <w:rsid w:val="00C73476"/>
    <w:rsid w:val="00C95697"/>
    <w:rsid w:val="00CB74FD"/>
    <w:rsid w:val="00CC22A4"/>
    <w:rsid w:val="00CC32E4"/>
    <w:rsid w:val="00CC43A2"/>
    <w:rsid w:val="00CE107C"/>
    <w:rsid w:val="00CF5350"/>
    <w:rsid w:val="00CF7E47"/>
    <w:rsid w:val="00D0272F"/>
    <w:rsid w:val="00D075E4"/>
    <w:rsid w:val="00D07A28"/>
    <w:rsid w:val="00D10B70"/>
    <w:rsid w:val="00D11C3D"/>
    <w:rsid w:val="00D1338C"/>
    <w:rsid w:val="00D13E47"/>
    <w:rsid w:val="00D142D0"/>
    <w:rsid w:val="00D15FA8"/>
    <w:rsid w:val="00D16713"/>
    <w:rsid w:val="00D21D26"/>
    <w:rsid w:val="00D24065"/>
    <w:rsid w:val="00D273AF"/>
    <w:rsid w:val="00D300ED"/>
    <w:rsid w:val="00D3036D"/>
    <w:rsid w:val="00D30736"/>
    <w:rsid w:val="00D4423A"/>
    <w:rsid w:val="00D52DB0"/>
    <w:rsid w:val="00D60FDA"/>
    <w:rsid w:val="00D6324B"/>
    <w:rsid w:val="00D63905"/>
    <w:rsid w:val="00D776B8"/>
    <w:rsid w:val="00D83C6E"/>
    <w:rsid w:val="00D87B1E"/>
    <w:rsid w:val="00D9055C"/>
    <w:rsid w:val="00D93A65"/>
    <w:rsid w:val="00D950BF"/>
    <w:rsid w:val="00D9553E"/>
    <w:rsid w:val="00D95579"/>
    <w:rsid w:val="00DA42D5"/>
    <w:rsid w:val="00DA6A0B"/>
    <w:rsid w:val="00DB13E9"/>
    <w:rsid w:val="00DB1E55"/>
    <w:rsid w:val="00DC206E"/>
    <w:rsid w:val="00DD2828"/>
    <w:rsid w:val="00DD2B24"/>
    <w:rsid w:val="00DD48DF"/>
    <w:rsid w:val="00DE21B4"/>
    <w:rsid w:val="00DE2542"/>
    <w:rsid w:val="00DE28E9"/>
    <w:rsid w:val="00DE387F"/>
    <w:rsid w:val="00DF0544"/>
    <w:rsid w:val="00DF0A4B"/>
    <w:rsid w:val="00E008FD"/>
    <w:rsid w:val="00E0793D"/>
    <w:rsid w:val="00E114B1"/>
    <w:rsid w:val="00E13BE1"/>
    <w:rsid w:val="00E170D1"/>
    <w:rsid w:val="00E32B5F"/>
    <w:rsid w:val="00E34559"/>
    <w:rsid w:val="00E423EE"/>
    <w:rsid w:val="00E53CF1"/>
    <w:rsid w:val="00E60E5E"/>
    <w:rsid w:val="00E91033"/>
    <w:rsid w:val="00E93D0D"/>
    <w:rsid w:val="00EA0D8F"/>
    <w:rsid w:val="00EA59B9"/>
    <w:rsid w:val="00EB420E"/>
    <w:rsid w:val="00EC2412"/>
    <w:rsid w:val="00EC41BF"/>
    <w:rsid w:val="00EC5E53"/>
    <w:rsid w:val="00EC7463"/>
    <w:rsid w:val="00ED1B7E"/>
    <w:rsid w:val="00EE274A"/>
    <w:rsid w:val="00EE6520"/>
    <w:rsid w:val="00EF5992"/>
    <w:rsid w:val="00F0136E"/>
    <w:rsid w:val="00F01F4B"/>
    <w:rsid w:val="00F035E8"/>
    <w:rsid w:val="00F05BF9"/>
    <w:rsid w:val="00F12C21"/>
    <w:rsid w:val="00F300B2"/>
    <w:rsid w:val="00F349C0"/>
    <w:rsid w:val="00F377A7"/>
    <w:rsid w:val="00F507FE"/>
    <w:rsid w:val="00F50AAC"/>
    <w:rsid w:val="00F52EF5"/>
    <w:rsid w:val="00F65858"/>
    <w:rsid w:val="00F66B9C"/>
    <w:rsid w:val="00F71C9B"/>
    <w:rsid w:val="00F768F7"/>
    <w:rsid w:val="00F8198F"/>
    <w:rsid w:val="00F8649A"/>
    <w:rsid w:val="00F90F98"/>
    <w:rsid w:val="00F961B3"/>
    <w:rsid w:val="00FA24FB"/>
    <w:rsid w:val="00FA38A8"/>
    <w:rsid w:val="00FA6893"/>
    <w:rsid w:val="00FB1883"/>
    <w:rsid w:val="00FC3D64"/>
    <w:rsid w:val="00FC4F84"/>
    <w:rsid w:val="00FD3B28"/>
    <w:rsid w:val="00FD4614"/>
    <w:rsid w:val="00FE03D8"/>
    <w:rsid w:val="00FE3F12"/>
    <w:rsid w:val="00FE5184"/>
    <w:rsid w:val="00FF45D9"/>
    <w:rsid w:val="00FF4B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4CBBD"/>
  <w15:chartTrackingRefBased/>
  <w15:docId w15:val="{4EF2D583-9FEB-4742-A997-C780F570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136"/>
    <w:pPr>
      <w:ind w:left="720"/>
      <w:contextualSpacing/>
    </w:pPr>
  </w:style>
  <w:style w:type="paragraph" w:styleId="Header">
    <w:name w:val="header"/>
    <w:basedOn w:val="Normal"/>
    <w:link w:val="HeaderChar"/>
    <w:uiPriority w:val="99"/>
    <w:unhideWhenUsed/>
    <w:rsid w:val="00E07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93D"/>
  </w:style>
  <w:style w:type="paragraph" w:styleId="Footer">
    <w:name w:val="footer"/>
    <w:basedOn w:val="Normal"/>
    <w:link w:val="FooterChar"/>
    <w:uiPriority w:val="99"/>
    <w:unhideWhenUsed/>
    <w:rsid w:val="00E07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93D"/>
  </w:style>
  <w:style w:type="paragraph" w:styleId="FootnoteText">
    <w:name w:val="footnote text"/>
    <w:basedOn w:val="Normal"/>
    <w:link w:val="FootnoteTextChar"/>
    <w:uiPriority w:val="99"/>
    <w:semiHidden/>
    <w:unhideWhenUsed/>
    <w:rsid w:val="00277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74F1"/>
    <w:rPr>
      <w:sz w:val="20"/>
      <w:szCs w:val="20"/>
    </w:rPr>
  </w:style>
  <w:style w:type="character" w:styleId="FootnoteReference">
    <w:name w:val="footnote reference"/>
    <w:basedOn w:val="DefaultParagraphFont"/>
    <w:uiPriority w:val="99"/>
    <w:semiHidden/>
    <w:unhideWhenUsed/>
    <w:rsid w:val="002774F1"/>
    <w:rPr>
      <w:vertAlign w:val="superscript"/>
    </w:rPr>
  </w:style>
  <w:style w:type="paragraph" w:customStyle="1" w:styleId="ccourt">
    <w:name w:val="ccourt"/>
    <w:basedOn w:val="Normal"/>
    <w:rsid w:val="006F6620"/>
    <w:pPr>
      <w:tabs>
        <w:tab w:val="left" w:pos="851"/>
      </w:tabs>
      <w:spacing w:before="240" w:after="240" w:line="360" w:lineRule="exact"/>
      <w:jc w:val="both"/>
    </w:pPr>
    <w:rPr>
      <w:rFonts w:ascii="Bookman Old Style" w:eastAsiaTheme="minorEastAsia" w:hAnsi="Bookman Old Style" w:cs="Bookman Old Style"/>
      <w:szCs w:val="20"/>
      <w:lang w:eastAsia="en-AU"/>
    </w:rPr>
  </w:style>
  <w:style w:type="character" w:styleId="Hyperlink">
    <w:name w:val="Hyperlink"/>
    <w:basedOn w:val="DefaultParagraphFont"/>
    <w:uiPriority w:val="99"/>
    <w:unhideWhenUsed/>
    <w:rsid w:val="002343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3281">
      <w:bodyDiv w:val="1"/>
      <w:marLeft w:val="0"/>
      <w:marRight w:val="0"/>
      <w:marTop w:val="0"/>
      <w:marBottom w:val="0"/>
      <w:divBdr>
        <w:top w:val="none" w:sz="0" w:space="0" w:color="auto"/>
        <w:left w:val="none" w:sz="0" w:space="0" w:color="auto"/>
        <w:bottom w:val="none" w:sz="0" w:space="0" w:color="auto"/>
        <w:right w:val="none" w:sz="0" w:space="0" w:color="auto"/>
      </w:divBdr>
      <w:divsChild>
        <w:div w:id="59249977">
          <w:marLeft w:val="547"/>
          <w:marRight w:val="0"/>
          <w:marTop w:val="200"/>
          <w:marBottom w:val="0"/>
          <w:divBdr>
            <w:top w:val="none" w:sz="0" w:space="0" w:color="auto"/>
            <w:left w:val="none" w:sz="0" w:space="0" w:color="auto"/>
            <w:bottom w:val="none" w:sz="0" w:space="0" w:color="auto"/>
            <w:right w:val="none" w:sz="0" w:space="0" w:color="auto"/>
          </w:divBdr>
        </w:div>
        <w:div w:id="922641981">
          <w:marLeft w:val="547"/>
          <w:marRight w:val="0"/>
          <w:marTop w:val="200"/>
          <w:marBottom w:val="0"/>
          <w:divBdr>
            <w:top w:val="none" w:sz="0" w:space="0" w:color="auto"/>
            <w:left w:val="none" w:sz="0" w:space="0" w:color="auto"/>
            <w:bottom w:val="none" w:sz="0" w:space="0" w:color="auto"/>
            <w:right w:val="none" w:sz="0" w:space="0" w:color="auto"/>
          </w:divBdr>
        </w:div>
        <w:div w:id="1883051112">
          <w:marLeft w:val="547"/>
          <w:marRight w:val="0"/>
          <w:marTop w:val="200"/>
          <w:marBottom w:val="0"/>
          <w:divBdr>
            <w:top w:val="none" w:sz="0" w:space="0" w:color="auto"/>
            <w:left w:val="none" w:sz="0" w:space="0" w:color="auto"/>
            <w:bottom w:val="none" w:sz="0" w:space="0" w:color="auto"/>
            <w:right w:val="none" w:sz="0" w:space="0" w:color="auto"/>
          </w:divBdr>
        </w:div>
        <w:div w:id="492139802">
          <w:marLeft w:val="547"/>
          <w:marRight w:val="0"/>
          <w:marTop w:val="200"/>
          <w:marBottom w:val="0"/>
          <w:divBdr>
            <w:top w:val="none" w:sz="0" w:space="0" w:color="auto"/>
            <w:left w:val="none" w:sz="0" w:space="0" w:color="auto"/>
            <w:bottom w:val="none" w:sz="0" w:space="0" w:color="auto"/>
            <w:right w:val="none" w:sz="0" w:space="0" w:color="auto"/>
          </w:divBdr>
        </w:div>
        <w:div w:id="332413808">
          <w:marLeft w:val="547"/>
          <w:marRight w:val="0"/>
          <w:marTop w:val="200"/>
          <w:marBottom w:val="0"/>
          <w:divBdr>
            <w:top w:val="none" w:sz="0" w:space="0" w:color="auto"/>
            <w:left w:val="none" w:sz="0" w:space="0" w:color="auto"/>
            <w:bottom w:val="none" w:sz="0" w:space="0" w:color="auto"/>
            <w:right w:val="none" w:sz="0" w:space="0" w:color="auto"/>
          </w:divBdr>
        </w:div>
        <w:div w:id="403189651">
          <w:marLeft w:val="547"/>
          <w:marRight w:val="0"/>
          <w:marTop w:val="200"/>
          <w:marBottom w:val="0"/>
          <w:divBdr>
            <w:top w:val="none" w:sz="0" w:space="0" w:color="auto"/>
            <w:left w:val="none" w:sz="0" w:space="0" w:color="auto"/>
            <w:bottom w:val="none" w:sz="0" w:space="0" w:color="auto"/>
            <w:right w:val="none" w:sz="0" w:space="0" w:color="auto"/>
          </w:divBdr>
        </w:div>
        <w:div w:id="1996179958">
          <w:marLeft w:val="547"/>
          <w:marRight w:val="0"/>
          <w:marTop w:val="200"/>
          <w:marBottom w:val="0"/>
          <w:divBdr>
            <w:top w:val="none" w:sz="0" w:space="0" w:color="auto"/>
            <w:left w:val="none" w:sz="0" w:space="0" w:color="auto"/>
            <w:bottom w:val="none" w:sz="0" w:space="0" w:color="auto"/>
            <w:right w:val="none" w:sz="0" w:space="0" w:color="auto"/>
          </w:divBdr>
        </w:div>
      </w:divsChild>
    </w:div>
    <w:div w:id="808059125">
      <w:bodyDiv w:val="1"/>
      <w:marLeft w:val="0"/>
      <w:marRight w:val="0"/>
      <w:marTop w:val="0"/>
      <w:marBottom w:val="0"/>
      <w:divBdr>
        <w:top w:val="none" w:sz="0" w:space="0" w:color="auto"/>
        <w:left w:val="none" w:sz="0" w:space="0" w:color="auto"/>
        <w:bottom w:val="none" w:sz="0" w:space="0" w:color="auto"/>
        <w:right w:val="none" w:sz="0" w:space="0" w:color="auto"/>
      </w:divBdr>
    </w:div>
    <w:div w:id="857816817">
      <w:bodyDiv w:val="1"/>
      <w:marLeft w:val="0"/>
      <w:marRight w:val="0"/>
      <w:marTop w:val="0"/>
      <w:marBottom w:val="0"/>
      <w:divBdr>
        <w:top w:val="none" w:sz="0" w:space="0" w:color="auto"/>
        <w:left w:val="none" w:sz="0" w:space="0" w:color="auto"/>
        <w:bottom w:val="none" w:sz="0" w:space="0" w:color="auto"/>
        <w:right w:val="none" w:sz="0" w:space="0" w:color="auto"/>
      </w:divBdr>
      <w:divsChild>
        <w:div w:id="404299045">
          <w:marLeft w:val="0"/>
          <w:marRight w:val="0"/>
          <w:marTop w:val="0"/>
          <w:marBottom w:val="0"/>
          <w:divBdr>
            <w:top w:val="none" w:sz="0" w:space="0" w:color="auto"/>
            <w:left w:val="none" w:sz="0" w:space="0" w:color="auto"/>
            <w:bottom w:val="none" w:sz="0" w:space="0" w:color="auto"/>
            <w:right w:val="none" w:sz="0" w:space="0" w:color="auto"/>
          </w:divBdr>
          <w:divsChild>
            <w:div w:id="762921672">
              <w:marLeft w:val="0"/>
              <w:marRight w:val="0"/>
              <w:marTop w:val="0"/>
              <w:marBottom w:val="0"/>
              <w:divBdr>
                <w:top w:val="none" w:sz="0" w:space="0" w:color="auto"/>
                <w:left w:val="none" w:sz="0" w:space="0" w:color="auto"/>
                <w:bottom w:val="none" w:sz="0" w:space="0" w:color="auto"/>
                <w:right w:val="none" w:sz="0" w:space="0" w:color="auto"/>
              </w:divBdr>
              <w:divsChild>
                <w:div w:id="1580945405">
                  <w:marLeft w:val="0"/>
                  <w:marRight w:val="0"/>
                  <w:marTop w:val="0"/>
                  <w:marBottom w:val="0"/>
                  <w:divBdr>
                    <w:top w:val="none" w:sz="0" w:space="0" w:color="auto"/>
                    <w:left w:val="none" w:sz="0" w:space="0" w:color="auto"/>
                    <w:bottom w:val="none" w:sz="0" w:space="0" w:color="auto"/>
                    <w:right w:val="none" w:sz="0" w:space="0" w:color="auto"/>
                  </w:divBdr>
                  <w:divsChild>
                    <w:div w:id="1749501893">
                      <w:marLeft w:val="0"/>
                      <w:marRight w:val="0"/>
                      <w:marTop w:val="0"/>
                      <w:marBottom w:val="0"/>
                      <w:divBdr>
                        <w:top w:val="none" w:sz="0" w:space="0" w:color="auto"/>
                        <w:left w:val="none" w:sz="0" w:space="0" w:color="auto"/>
                        <w:bottom w:val="none" w:sz="0" w:space="0" w:color="auto"/>
                        <w:right w:val="none" w:sz="0" w:space="0" w:color="auto"/>
                      </w:divBdr>
                      <w:divsChild>
                        <w:div w:id="1804692503">
                          <w:marLeft w:val="0"/>
                          <w:marRight w:val="0"/>
                          <w:marTop w:val="0"/>
                          <w:marBottom w:val="0"/>
                          <w:divBdr>
                            <w:top w:val="none" w:sz="0" w:space="0" w:color="auto"/>
                            <w:left w:val="none" w:sz="0" w:space="0" w:color="auto"/>
                            <w:bottom w:val="none" w:sz="0" w:space="0" w:color="auto"/>
                            <w:right w:val="none" w:sz="0" w:space="0" w:color="auto"/>
                          </w:divBdr>
                          <w:divsChild>
                            <w:div w:id="1679849356">
                              <w:marLeft w:val="0"/>
                              <w:marRight w:val="0"/>
                              <w:marTop w:val="0"/>
                              <w:marBottom w:val="0"/>
                              <w:divBdr>
                                <w:top w:val="none" w:sz="0" w:space="0" w:color="auto"/>
                                <w:left w:val="none" w:sz="0" w:space="0" w:color="auto"/>
                                <w:bottom w:val="none" w:sz="0" w:space="0" w:color="auto"/>
                                <w:right w:val="none" w:sz="0" w:space="0" w:color="auto"/>
                              </w:divBdr>
                              <w:divsChild>
                                <w:div w:id="1492452131">
                                  <w:marLeft w:val="0"/>
                                  <w:marRight w:val="0"/>
                                  <w:marTop w:val="0"/>
                                  <w:marBottom w:val="0"/>
                                  <w:divBdr>
                                    <w:top w:val="none" w:sz="0" w:space="0" w:color="auto"/>
                                    <w:left w:val="none" w:sz="0" w:space="0" w:color="auto"/>
                                    <w:bottom w:val="none" w:sz="0" w:space="0" w:color="auto"/>
                                    <w:right w:val="none" w:sz="0" w:space="0" w:color="auto"/>
                                  </w:divBdr>
                                  <w:divsChild>
                                    <w:div w:id="563225244">
                                      <w:marLeft w:val="0"/>
                                      <w:marRight w:val="0"/>
                                      <w:marTop w:val="0"/>
                                      <w:marBottom w:val="0"/>
                                      <w:divBdr>
                                        <w:top w:val="none" w:sz="0" w:space="0" w:color="auto"/>
                                        <w:left w:val="none" w:sz="0" w:space="0" w:color="auto"/>
                                        <w:bottom w:val="none" w:sz="0" w:space="0" w:color="auto"/>
                                        <w:right w:val="none" w:sz="0" w:space="0" w:color="auto"/>
                                      </w:divBdr>
                                      <w:divsChild>
                                        <w:div w:id="1885093216">
                                          <w:marLeft w:val="0"/>
                                          <w:marRight w:val="0"/>
                                          <w:marTop w:val="0"/>
                                          <w:marBottom w:val="0"/>
                                          <w:divBdr>
                                            <w:top w:val="none" w:sz="0" w:space="0" w:color="auto"/>
                                            <w:left w:val="none" w:sz="0" w:space="0" w:color="auto"/>
                                            <w:bottom w:val="none" w:sz="0" w:space="0" w:color="auto"/>
                                            <w:right w:val="none" w:sz="0" w:space="0" w:color="auto"/>
                                          </w:divBdr>
                                          <w:divsChild>
                                            <w:div w:id="1573194946">
                                              <w:marLeft w:val="0"/>
                                              <w:marRight w:val="0"/>
                                              <w:marTop w:val="0"/>
                                              <w:marBottom w:val="0"/>
                                              <w:divBdr>
                                                <w:top w:val="none" w:sz="0" w:space="0" w:color="auto"/>
                                                <w:left w:val="none" w:sz="0" w:space="0" w:color="auto"/>
                                                <w:bottom w:val="none" w:sz="0" w:space="0" w:color="auto"/>
                                                <w:right w:val="none" w:sz="0" w:space="0" w:color="auto"/>
                                              </w:divBdr>
                                              <w:divsChild>
                                                <w:div w:id="1153908769">
                                                  <w:marLeft w:val="0"/>
                                                  <w:marRight w:val="0"/>
                                                  <w:marTop w:val="0"/>
                                                  <w:marBottom w:val="0"/>
                                                  <w:divBdr>
                                                    <w:top w:val="none" w:sz="0" w:space="0" w:color="auto"/>
                                                    <w:left w:val="none" w:sz="0" w:space="0" w:color="auto"/>
                                                    <w:bottom w:val="none" w:sz="0" w:space="0" w:color="auto"/>
                                                    <w:right w:val="none" w:sz="0" w:space="0" w:color="auto"/>
                                                  </w:divBdr>
                                                  <w:divsChild>
                                                    <w:div w:id="1880703623">
                                                      <w:marLeft w:val="0"/>
                                                      <w:marRight w:val="0"/>
                                                      <w:marTop w:val="0"/>
                                                      <w:marBottom w:val="0"/>
                                                      <w:divBdr>
                                                        <w:top w:val="none" w:sz="0" w:space="0" w:color="auto"/>
                                                        <w:left w:val="none" w:sz="0" w:space="0" w:color="auto"/>
                                                        <w:bottom w:val="none" w:sz="0" w:space="0" w:color="auto"/>
                                                        <w:right w:val="none" w:sz="0" w:space="0" w:color="auto"/>
                                                      </w:divBdr>
                                                      <w:divsChild>
                                                        <w:div w:id="207770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9629390">
      <w:bodyDiv w:val="1"/>
      <w:marLeft w:val="0"/>
      <w:marRight w:val="0"/>
      <w:marTop w:val="0"/>
      <w:marBottom w:val="0"/>
      <w:divBdr>
        <w:top w:val="none" w:sz="0" w:space="0" w:color="auto"/>
        <w:left w:val="none" w:sz="0" w:space="0" w:color="auto"/>
        <w:bottom w:val="none" w:sz="0" w:space="0" w:color="auto"/>
        <w:right w:val="none" w:sz="0" w:space="0" w:color="auto"/>
      </w:divBdr>
      <w:divsChild>
        <w:div w:id="2054232441">
          <w:marLeft w:val="0"/>
          <w:marRight w:val="0"/>
          <w:marTop w:val="0"/>
          <w:marBottom w:val="0"/>
          <w:divBdr>
            <w:top w:val="none" w:sz="0" w:space="0" w:color="auto"/>
            <w:left w:val="none" w:sz="0" w:space="0" w:color="auto"/>
            <w:bottom w:val="none" w:sz="0" w:space="0" w:color="auto"/>
            <w:right w:val="none" w:sz="0" w:space="0" w:color="auto"/>
          </w:divBdr>
          <w:divsChild>
            <w:div w:id="880485225">
              <w:marLeft w:val="0"/>
              <w:marRight w:val="0"/>
              <w:marTop w:val="0"/>
              <w:marBottom w:val="0"/>
              <w:divBdr>
                <w:top w:val="none" w:sz="0" w:space="0" w:color="auto"/>
                <w:left w:val="none" w:sz="0" w:space="0" w:color="auto"/>
                <w:bottom w:val="none" w:sz="0" w:space="0" w:color="auto"/>
                <w:right w:val="none" w:sz="0" w:space="0" w:color="auto"/>
              </w:divBdr>
              <w:divsChild>
                <w:div w:id="1358654106">
                  <w:marLeft w:val="0"/>
                  <w:marRight w:val="0"/>
                  <w:marTop w:val="0"/>
                  <w:marBottom w:val="0"/>
                  <w:divBdr>
                    <w:top w:val="none" w:sz="0" w:space="0" w:color="auto"/>
                    <w:left w:val="none" w:sz="0" w:space="0" w:color="auto"/>
                    <w:bottom w:val="none" w:sz="0" w:space="0" w:color="auto"/>
                    <w:right w:val="none" w:sz="0" w:space="0" w:color="auto"/>
                  </w:divBdr>
                  <w:divsChild>
                    <w:div w:id="1531529033">
                      <w:marLeft w:val="0"/>
                      <w:marRight w:val="0"/>
                      <w:marTop w:val="0"/>
                      <w:marBottom w:val="0"/>
                      <w:divBdr>
                        <w:top w:val="none" w:sz="0" w:space="0" w:color="auto"/>
                        <w:left w:val="none" w:sz="0" w:space="0" w:color="auto"/>
                        <w:bottom w:val="none" w:sz="0" w:space="0" w:color="auto"/>
                        <w:right w:val="none" w:sz="0" w:space="0" w:color="auto"/>
                      </w:divBdr>
                      <w:divsChild>
                        <w:div w:id="1117405865">
                          <w:marLeft w:val="0"/>
                          <w:marRight w:val="0"/>
                          <w:marTop w:val="0"/>
                          <w:marBottom w:val="0"/>
                          <w:divBdr>
                            <w:top w:val="none" w:sz="0" w:space="0" w:color="auto"/>
                            <w:left w:val="none" w:sz="0" w:space="0" w:color="auto"/>
                            <w:bottom w:val="none" w:sz="0" w:space="0" w:color="auto"/>
                            <w:right w:val="none" w:sz="0" w:space="0" w:color="auto"/>
                          </w:divBdr>
                          <w:divsChild>
                            <w:div w:id="887297127">
                              <w:marLeft w:val="0"/>
                              <w:marRight w:val="0"/>
                              <w:marTop w:val="0"/>
                              <w:marBottom w:val="0"/>
                              <w:divBdr>
                                <w:top w:val="none" w:sz="0" w:space="0" w:color="auto"/>
                                <w:left w:val="none" w:sz="0" w:space="0" w:color="auto"/>
                                <w:bottom w:val="none" w:sz="0" w:space="0" w:color="auto"/>
                                <w:right w:val="none" w:sz="0" w:space="0" w:color="auto"/>
                              </w:divBdr>
                              <w:divsChild>
                                <w:div w:id="1474789033">
                                  <w:marLeft w:val="0"/>
                                  <w:marRight w:val="0"/>
                                  <w:marTop w:val="0"/>
                                  <w:marBottom w:val="0"/>
                                  <w:divBdr>
                                    <w:top w:val="none" w:sz="0" w:space="0" w:color="auto"/>
                                    <w:left w:val="none" w:sz="0" w:space="0" w:color="auto"/>
                                    <w:bottom w:val="none" w:sz="0" w:space="0" w:color="auto"/>
                                    <w:right w:val="none" w:sz="0" w:space="0" w:color="auto"/>
                                  </w:divBdr>
                                  <w:divsChild>
                                    <w:div w:id="1736006418">
                                      <w:marLeft w:val="0"/>
                                      <w:marRight w:val="0"/>
                                      <w:marTop w:val="0"/>
                                      <w:marBottom w:val="0"/>
                                      <w:divBdr>
                                        <w:top w:val="none" w:sz="0" w:space="0" w:color="auto"/>
                                        <w:left w:val="none" w:sz="0" w:space="0" w:color="auto"/>
                                        <w:bottom w:val="none" w:sz="0" w:space="0" w:color="auto"/>
                                        <w:right w:val="none" w:sz="0" w:space="0" w:color="auto"/>
                                      </w:divBdr>
                                      <w:divsChild>
                                        <w:div w:id="1640115299">
                                          <w:marLeft w:val="0"/>
                                          <w:marRight w:val="0"/>
                                          <w:marTop w:val="0"/>
                                          <w:marBottom w:val="0"/>
                                          <w:divBdr>
                                            <w:top w:val="none" w:sz="0" w:space="0" w:color="auto"/>
                                            <w:left w:val="none" w:sz="0" w:space="0" w:color="auto"/>
                                            <w:bottom w:val="none" w:sz="0" w:space="0" w:color="auto"/>
                                            <w:right w:val="none" w:sz="0" w:space="0" w:color="auto"/>
                                          </w:divBdr>
                                          <w:divsChild>
                                            <w:div w:id="510729674">
                                              <w:marLeft w:val="0"/>
                                              <w:marRight w:val="0"/>
                                              <w:marTop w:val="0"/>
                                              <w:marBottom w:val="0"/>
                                              <w:divBdr>
                                                <w:top w:val="none" w:sz="0" w:space="0" w:color="auto"/>
                                                <w:left w:val="none" w:sz="0" w:space="0" w:color="auto"/>
                                                <w:bottom w:val="none" w:sz="0" w:space="0" w:color="auto"/>
                                                <w:right w:val="none" w:sz="0" w:space="0" w:color="auto"/>
                                              </w:divBdr>
                                              <w:divsChild>
                                                <w:div w:id="377977115">
                                                  <w:marLeft w:val="0"/>
                                                  <w:marRight w:val="0"/>
                                                  <w:marTop w:val="0"/>
                                                  <w:marBottom w:val="0"/>
                                                  <w:divBdr>
                                                    <w:top w:val="none" w:sz="0" w:space="0" w:color="auto"/>
                                                    <w:left w:val="none" w:sz="0" w:space="0" w:color="auto"/>
                                                    <w:bottom w:val="none" w:sz="0" w:space="0" w:color="auto"/>
                                                    <w:right w:val="none" w:sz="0" w:space="0" w:color="auto"/>
                                                  </w:divBdr>
                                                  <w:divsChild>
                                                    <w:div w:id="457844275">
                                                      <w:marLeft w:val="0"/>
                                                      <w:marRight w:val="0"/>
                                                      <w:marTop w:val="0"/>
                                                      <w:marBottom w:val="0"/>
                                                      <w:divBdr>
                                                        <w:top w:val="none" w:sz="0" w:space="0" w:color="auto"/>
                                                        <w:left w:val="none" w:sz="0" w:space="0" w:color="auto"/>
                                                        <w:bottom w:val="none" w:sz="0" w:space="0" w:color="auto"/>
                                                        <w:right w:val="none" w:sz="0" w:space="0" w:color="auto"/>
                                                      </w:divBdr>
                                                      <w:divsChild>
                                                        <w:div w:id="17017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F829B-3F5B-4D3E-8CED-DD436B980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14</Pages>
  <Words>2800</Words>
  <Characters>15962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Hamilton</dc:creator>
  <cp:keywords/>
  <dc:description/>
  <cp:lastModifiedBy>Peter Hamilton</cp:lastModifiedBy>
  <cp:revision>503</cp:revision>
  <dcterms:created xsi:type="dcterms:W3CDTF">2016-06-05T02:17:00Z</dcterms:created>
  <dcterms:modified xsi:type="dcterms:W3CDTF">2017-06-21T06:33:00Z</dcterms:modified>
</cp:coreProperties>
</file>