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6AD8" w14:textId="6CC0D9B8" w:rsidR="00D2715A" w:rsidRDefault="00B42EF1" w:rsidP="00647C60">
      <w:pPr>
        <w:tabs>
          <w:tab w:val="left" w:pos="7088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hint="eastAsia"/>
          <w:noProof/>
          <w:lang w:eastAsia="en-AU"/>
        </w:rPr>
        <w:drawing>
          <wp:inline distT="0" distB="0" distL="0" distR="0" wp14:anchorId="3D6D51DE" wp14:editId="25EA8C63">
            <wp:extent cx="1371285" cy="944448"/>
            <wp:effectExtent l="0" t="0" r="635" b="0"/>
            <wp:docPr id="39" name="Picture 39" descr="Work:Vic Bar Association:7 Brand Styleguide:&gt; Images:LetterheadImageFollow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:Vic Bar Association:7 Brand Styleguide:&gt; Images:LetterheadImageFollow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73" cy="9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525E" w14:textId="77777777" w:rsidR="005C1EDC" w:rsidRDefault="005C1EDC" w:rsidP="00327DC2">
      <w:pPr>
        <w:jc w:val="center"/>
        <w:rPr>
          <w:rFonts w:ascii="Adobe Garamond Pro" w:hAnsi="Adobe Garamond Pro"/>
          <w:b/>
          <w:sz w:val="28"/>
          <w:szCs w:val="28"/>
        </w:rPr>
      </w:pPr>
    </w:p>
    <w:p w14:paraId="7FFC2BCA" w14:textId="77777777" w:rsidR="005C1EDC" w:rsidRDefault="005C1EDC" w:rsidP="00327DC2">
      <w:pPr>
        <w:jc w:val="center"/>
        <w:rPr>
          <w:rFonts w:ascii="Adobe Garamond Pro" w:hAnsi="Adobe Garamond Pro"/>
          <w:b/>
          <w:sz w:val="28"/>
          <w:szCs w:val="28"/>
        </w:rPr>
      </w:pPr>
    </w:p>
    <w:p w14:paraId="4FEDC805" w14:textId="6C90899D" w:rsidR="00327DC2" w:rsidRDefault="00327DC2" w:rsidP="00327DC2">
      <w:pPr>
        <w:jc w:val="center"/>
        <w:rPr>
          <w:rFonts w:ascii="Adobe Garamond Pro" w:hAnsi="Adobe Garamond Pro"/>
          <w:b/>
          <w:sz w:val="28"/>
          <w:szCs w:val="28"/>
        </w:rPr>
      </w:pPr>
      <w:r w:rsidRPr="00D2715A">
        <w:rPr>
          <w:rFonts w:ascii="Adobe Garamond Pro" w:hAnsi="Adobe Garamond Pro"/>
          <w:b/>
          <w:sz w:val="28"/>
          <w:szCs w:val="28"/>
        </w:rPr>
        <w:t>Gender Equitable Briefing Policy</w:t>
      </w:r>
    </w:p>
    <w:p w14:paraId="19EB8427" w14:textId="7897F964" w:rsidR="003549D8" w:rsidRDefault="003549D8" w:rsidP="00327DC2">
      <w:pPr>
        <w:jc w:val="center"/>
        <w:rPr>
          <w:rFonts w:ascii="Adobe Garamond Pro" w:eastAsia="Times New Roman" w:hAnsi="Adobe Garamond Pro" w:cs="Calibri"/>
          <w:b/>
          <w:bCs/>
          <w:color w:val="000000"/>
          <w:sz w:val="28"/>
          <w:szCs w:val="28"/>
          <w:lang w:eastAsia="en-AU"/>
        </w:rPr>
      </w:pPr>
      <w:r w:rsidRPr="00D2715A">
        <w:rPr>
          <w:rFonts w:ascii="Adobe Garamond Pro" w:eastAsia="Times New Roman" w:hAnsi="Adobe Garamond Pro" w:cs="Calibri"/>
          <w:b/>
          <w:bCs/>
          <w:color w:val="000000"/>
          <w:sz w:val="28"/>
          <w:szCs w:val="28"/>
          <w:lang w:eastAsia="en-AU"/>
        </w:rPr>
        <w:t xml:space="preserve">Barrister </w:t>
      </w:r>
      <w:r>
        <w:rPr>
          <w:rFonts w:ascii="Adobe Garamond Pro" w:eastAsia="Times New Roman" w:hAnsi="Adobe Garamond Pro" w:cs="Calibri"/>
          <w:b/>
          <w:bCs/>
          <w:color w:val="000000"/>
          <w:sz w:val="28"/>
          <w:szCs w:val="28"/>
          <w:lang w:eastAsia="en-AU"/>
        </w:rPr>
        <w:t>Worksheet</w:t>
      </w:r>
      <w:r w:rsidR="005C1EDC">
        <w:rPr>
          <w:rFonts w:ascii="Adobe Garamond Pro" w:eastAsia="Times New Roman" w:hAnsi="Adobe Garamond Pro" w:cs="Calibri"/>
          <w:b/>
          <w:bCs/>
          <w:color w:val="000000"/>
          <w:sz w:val="28"/>
          <w:szCs w:val="28"/>
          <w:lang w:eastAsia="en-AU"/>
        </w:rPr>
        <w:t xml:space="preserve"> and Annual Report</w:t>
      </w:r>
    </w:p>
    <w:p w14:paraId="3BB71374" w14:textId="0828E9FC" w:rsidR="003549D8" w:rsidRDefault="003549D8" w:rsidP="003549D8">
      <w:pPr>
        <w:jc w:val="both"/>
        <w:rPr>
          <w:rFonts w:ascii="Adobe Garamond Pro" w:hAnsi="Adobe Garamond Pro"/>
        </w:rPr>
      </w:pPr>
    </w:p>
    <w:p w14:paraId="24A516EE" w14:textId="77777777" w:rsidR="005C1EDC" w:rsidRDefault="005C1EDC" w:rsidP="003549D8">
      <w:pPr>
        <w:jc w:val="both"/>
        <w:rPr>
          <w:rFonts w:ascii="Adobe Garamond Pro" w:hAnsi="Adobe Garamond Pro"/>
        </w:rPr>
      </w:pPr>
    </w:p>
    <w:p w14:paraId="759824C0" w14:textId="035D233B" w:rsidR="007C5B08" w:rsidRDefault="007C5B08" w:rsidP="003549D8">
      <w:pPr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This document comprises a template Worksheet and Annual Report to assist barristers to comply with their reporting obligations under the Law Council of Australia’s Equitable Briefing Policy.</w:t>
      </w:r>
    </w:p>
    <w:p w14:paraId="4D515B84" w14:textId="2E49ED72" w:rsidR="003549D8" w:rsidRDefault="003549D8" w:rsidP="003549D8">
      <w:pPr>
        <w:jc w:val="both"/>
        <w:rPr>
          <w:rFonts w:ascii="Adobe Garamond Pro" w:hAnsi="Adobe Garamond Pro"/>
        </w:rPr>
      </w:pPr>
      <w:r w:rsidRPr="00D2715A">
        <w:rPr>
          <w:rFonts w:ascii="Adobe Garamond Pro" w:hAnsi="Adobe Garamond Pro"/>
        </w:rPr>
        <w:t xml:space="preserve">The </w:t>
      </w:r>
      <w:r>
        <w:rPr>
          <w:rFonts w:ascii="Adobe Garamond Pro" w:hAnsi="Adobe Garamond Pro"/>
        </w:rPr>
        <w:t xml:space="preserve">Worksheet </w:t>
      </w:r>
      <w:r w:rsidRPr="00D2715A">
        <w:rPr>
          <w:rFonts w:ascii="Adobe Garamond Pro" w:hAnsi="Adobe Garamond Pro"/>
        </w:rPr>
        <w:t xml:space="preserve">allows </w:t>
      </w:r>
      <w:r w:rsidR="007C5B08">
        <w:rPr>
          <w:rFonts w:ascii="Adobe Garamond Pro" w:hAnsi="Adobe Garamond Pro"/>
        </w:rPr>
        <w:t>barristers</w:t>
      </w:r>
      <w:r>
        <w:rPr>
          <w:rFonts w:ascii="Adobe Garamond Pro" w:hAnsi="Adobe Garamond Pro"/>
        </w:rPr>
        <w:t xml:space="preserve"> to keep a running </w:t>
      </w:r>
      <w:r w:rsidRPr="00D2715A">
        <w:rPr>
          <w:rFonts w:ascii="Adobe Garamond Pro" w:hAnsi="Adobe Garamond Pro"/>
        </w:rPr>
        <w:t xml:space="preserve">tally </w:t>
      </w:r>
      <w:r>
        <w:rPr>
          <w:rFonts w:ascii="Adobe Garamond Pro" w:hAnsi="Adobe Garamond Pro"/>
        </w:rPr>
        <w:t xml:space="preserve">of </w:t>
      </w:r>
      <w:r w:rsidRPr="00D2715A">
        <w:rPr>
          <w:rFonts w:ascii="Adobe Garamond Pro" w:hAnsi="Adobe Garamond Pro"/>
        </w:rPr>
        <w:t xml:space="preserve">the gender and </w:t>
      </w:r>
      <w:r w:rsidR="005C1EDC">
        <w:rPr>
          <w:rFonts w:ascii="Adobe Garamond Pro" w:hAnsi="Adobe Garamond Pro"/>
        </w:rPr>
        <w:t>seniority</w:t>
      </w:r>
      <w:r w:rsidRPr="00D2715A">
        <w:rPr>
          <w:rFonts w:ascii="Adobe Garamond Pro" w:hAnsi="Adobe Garamond Pro"/>
        </w:rPr>
        <w:t xml:space="preserve"> of </w:t>
      </w:r>
      <w:r w:rsidR="007C5B08">
        <w:rPr>
          <w:rFonts w:ascii="Adobe Garamond Pro" w:hAnsi="Adobe Garamond Pro"/>
        </w:rPr>
        <w:t>all</w:t>
      </w:r>
      <w:r w:rsidRPr="00D2715A">
        <w:rPr>
          <w:rFonts w:ascii="Adobe Garamond Pro" w:hAnsi="Adobe Garamond Pro"/>
        </w:rPr>
        <w:t xml:space="preserve"> barristers briefed </w:t>
      </w:r>
      <w:r>
        <w:rPr>
          <w:rFonts w:ascii="Adobe Garamond Pro" w:hAnsi="Adobe Garamond Pro"/>
        </w:rPr>
        <w:t>with them</w:t>
      </w:r>
      <w:r w:rsidRPr="00D2715A">
        <w:rPr>
          <w:rFonts w:ascii="Adobe Garamond Pro" w:hAnsi="Adobe Garamond Pro"/>
        </w:rPr>
        <w:t xml:space="preserve">, the gender and </w:t>
      </w:r>
      <w:r w:rsidR="005C1EDC">
        <w:rPr>
          <w:rFonts w:ascii="Adobe Garamond Pro" w:hAnsi="Adobe Garamond Pro"/>
        </w:rPr>
        <w:t>seniority</w:t>
      </w:r>
      <w:r w:rsidRPr="00D2715A">
        <w:rPr>
          <w:rFonts w:ascii="Adobe Garamond Pro" w:hAnsi="Adobe Garamond Pro"/>
        </w:rPr>
        <w:t xml:space="preserve"> of </w:t>
      </w:r>
      <w:r w:rsidR="007C5B08">
        <w:rPr>
          <w:rFonts w:ascii="Adobe Garamond Pro" w:hAnsi="Adobe Garamond Pro"/>
        </w:rPr>
        <w:t>all</w:t>
      </w:r>
      <w:r w:rsidRPr="00D2715A">
        <w:rPr>
          <w:rFonts w:ascii="Adobe Garamond Pro" w:hAnsi="Adobe Garamond Pro"/>
        </w:rPr>
        <w:t xml:space="preserve"> barrister</w:t>
      </w:r>
      <w:r w:rsidR="007C5B08">
        <w:rPr>
          <w:rFonts w:ascii="Adobe Garamond Pro" w:hAnsi="Adobe Garamond Pro"/>
        </w:rPr>
        <w:t>s</w:t>
      </w:r>
      <w:r w:rsidRPr="00D2715A">
        <w:rPr>
          <w:rFonts w:ascii="Adobe Garamond Pro" w:hAnsi="Adobe Garamond Pro"/>
        </w:rPr>
        <w:t xml:space="preserve"> recommended </w:t>
      </w:r>
      <w:r>
        <w:rPr>
          <w:rFonts w:ascii="Adobe Garamond Pro" w:hAnsi="Adobe Garamond Pro"/>
        </w:rPr>
        <w:t>by them</w:t>
      </w:r>
      <w:r w:rsidR="005C1EDC">
        <w:rPr>
          <w:rFonts w:ascii="Adobe Garamond Pro" w:hAnsi="Adobe Garamond Pro"/>
        </w:rPr>
        <w:t xml:space="preserve"> or by other barristers</w:t>
      </w:r>
      <w:r w:rsidR="007C5B08">
        <w:rPr>
          <w:rFonts w:ascii="Adobe Garamond Pro" w:hAnsi="Adobe Garamond Pro"/>
        </w:rPr>
        <w:t xml:space="preserve"> (if known)</w:t>
      </w:r>
      <w:r>
        <w:rPr>
          <w:rFonts w:ascii="Adobe Garamond Pro" w:hAnsi="Adobe Garamond Pro"/>
        </w:rPr>
        <w:t xml:space="preserve">, whether </w:t>
      </w:r>
      <w:r w:rsidR="005C1EDC">
        <w:rPr>
          <w:rFonts w:ascii="Adobe Garamond Pro" w:hAnsi="Adobe Garamond Pro"/>
        </w:rPr>
        <w:t>recommendations</w:t>
      </w:r>
      <w:r>
        <w:rPr>
          <w:rFonts w:ascii="Adobe Garamond Pro" w:hAnsi="Adobe Garamond Pro"/>
        </w:rPr>
        <w:t xml:space="preserve"> resulted in a brief</w:t>
      </w:r>
      <w:r w:rsidR="007C5B08">
        <w:rPr>
          <w:rFonts w:ascii="Adobe Garamond Pro" w:hAnsi="Adobe Garamond Pro"/>
        </w:rPr>
        <w:t xml:space="preserve"> (if known)</w:t>
      </w:r>
      <w:r w:rsidR="005C1EDC">
        <w:rPr>
          <w:rFonts w:ascii="Adobe Garamond Pro" w:hAnsi="Adobe Garamond Pro"/>
        </w:rPr>
        <w:t>,</w:t>
      </w:r>
      <w:r w:rsidRPr="00D2715A">
        <w:rPr>
          <w:rFonts w:ascii="Adobe Garamond Pro" w:hAnsi="Adobe Garamond Pro"/>
        </w:rPr>
        <w:t xml:space="preserve"> and the number of </w:t>
      </w:r>
      <w:r>
        <w:rPr>
          <w:rFonts w:ascii="Adobe Garamond Pro" w:hAnsi="Adobe Garamond Pro"/>
        </w:rPr>
        <w:t xml:space="preserve">barristers recommended </w:t>
      </w:r>
      <w:r w:rsidR="005C1EDC">
        <w:rPr>
          <w:rFonts w:ascii="Adobe Garamond Pro" w:hAnsi="Adobe Garamond Pro"/>
        </w:rPr>
        <w:t>for</w:t>
      </w:r>
      <w:r>
        <w:rPr>
          <w:rFonts w:ascii="Adobe Garamond Pro" w:hAnsi="Adobe Garamond Pro"/>
        </w:rPr>
        <w:t xml:space="preserve"> new matters. </w:t>
      </w:r>
      <w:bookmarkStart w:id="0" w:name="_GoBack"/>
      <w:bookmarkEnd w:id="0"/>
    </w:p>
    <w:p w14:paraId="4530B43D" w14:textId="4D7988B1" w:rsidR="003549D8" w:rsidRDefault="003549D8" w:rsidP="003549D8">
      <w:pPr>
        <w:jc w:val="both"/>
        <w:rPr>
          <w:rFonts w:ascii="Adobe Garamond Pro" w:hAnsi="Adobe Garamond Pro"/>
        </w:rPr>
      </w:pPr>
      <w:r w:rsidRPr="00D2715A">
        <w:rPr>
          <w:rFonts w:ascii="Adobe Garamond Pro" w:hAnsi="Adobe Garamond Pro"/>
        </w:rPr>
        <w:t xml:space="preserve">At the end of the reporting </w:t>
      </w:r>
      <w:r w:rsidR="005C1EDC">
        <w:rPr>
          <w:rFonts w:ascii="Adobe Garamond Pro" w:hAnsi="Adobe Garamond Pro"/>
        </w:rPr>
        <w:t>period</w:t>
      </w:r>
      <w:r>
        <w:rPr>
          <w:rFonts w:ascii="Adobe Garamond Pro" w:hAnsi="Adobe Garamond Pro"/>
        </w:rPr>
        <w:t xml:space="preserve"> (from 1 July each year to 30 June the following year)</w:t>
      </w:r>
      <w:r w:rsidRPr="00D2715A">
        <w:rPr>
          <w:rFonts w:ascii="Adobe Garamond Pro" w:hAnsi="Adobe Garamond Pro"/>
        </w:rPr>
        <w:t>, all the reporting barrist</w:t>
      </w:r>
      <w:r>
        <w:rPr>
          <w:rFonts w:ascii="Adobe Garamond Pro" w:hAnsi="Adobe Garamond Pro"/>
        </w:rPr>
        <w:t xml:space="preserve">er will need to do is to compile </w:t>
      </w:r>
      <w:r w:rsidRPr="00D2715A">
        <w:rPr>
          <w:rFonts w:ascii="Adobe Garamond Pro" w:hAnsi="Adobe Garamond Pro"/>
        </w:rPr>
        <w:t xml:space="preserve">the </w:t>
      </w:r>
      <w:r>
        <w:rPr>
          <w:rFonts w:ascii="Adobe Garamond Pro" w:hAnsi="Adobe Garamond Pro"/>
        </w:rPr>
        <w:t>total numbers from each of the</w:t>
      </w:r>
      <w:r w:rsidRPr="00D2715A">
        <w:rPr>
          <w:rFonts w:ascii="Adobe Garamond Pro" w:hAnsi="Adobe Garamond Pro"/>
        </w:rPr>
        <w:t xml:space="preserve"> column</w:t>
      </w:r>
      <w:r>
        <w:rPr>
          <w:rFonts w:ascii="Adobe Garamond Pro" w:hAnsi="Adobe Garamond Pro"/>
        </w:rPr>
        <w:t xml:space="preserve">s </w:t>
      </w:r>
      <w:r w:rsidR="007C5B08">
        <w:rPr>
          <w:rFonts w:ascii="Adobe Garamond Pro" w:hAnsi="Adobe Garamond Pro"/>
        </w:rPr>
        <w:t>on</w:t>
      </w:r>
      <w:r>
        <w:rPr>
          <w:rFonts w:ascii="Adobe Garamond Pro" w:hAnsi="Adobe Garamond Pro"/>
        </w:rPr>
        <w:t xml:space="preserve"> the Worksheet and prepa</w:t>
      </w:r>
      <w:r w:rsidR="005C1EDC">
        <w:rPr>
          <w:rFonts w:ascii="Adobe Garamond Pro" w:hAnsi="Adobe Garamond Pro"/>
        </w:rPr>
        <w:t xml:space="preserve">re an Annual </w:t>
      </w:r>
      <w:r>
        <w:rPr>
          <w:rFonts w:ascii="Adobe Garamond Pro" w:hAnsi="Adobe Garamond Pro"/>
        </w:rPr>
        <w:t xml:space="preserve">Report for submission to the Law </w:t>
      </w:r>
      <w:r w:rsidR="005C1EDC">
        <w:rPr>
          <w:rFonts w:ascii="Adobe Garamond Pro" w:hAnsi="Adobe Garamond Pro"/>
        </w:rPr>
        <w:t>Council of Australia via its on</w:t>
      </w:r>
      <w:r>
        <w:rPr>
          <w:rFonts w:ascii="Adobe Garamond Pro" w:hAnsi="Adobe Garamond Pro"/>
        </w:rPr>
        <w:t>line portal by 30 September each year</w:t>
      </w:r>
      <w:r w:rsidRPr="00D2715A">
        <w:rPr>
          <w:rFonts w:ascii="Adobe Garamond Pro" w:hAnsi="Adobe Garamond Pro"/>
        </w:rPr>
        <w:t>.</w:t>
      </w:r>
      <w:r w:rsidR="005C1EDC">
        <w:rPr>
          <w:rFonts w:ascii="Adobe Garamond Pro" w:hAnsi="Adobe Garamond Pro"/>
        </w:rPr>
        <w:t xml:space="preserve"> </w:t>
      </w:r>
      <w:r w:rsidR="007C5B08">
        <w:rPr>
          <w:rFonts w:ascii="Adobe Garamond Pro" w:hAnsi="Adobe Garamond Pro"/>
        </w:rPr>
        <w:t>The template</w:t>
      </w:r>
      <w:r w:rsidR="005C1EDC">
        <w:rPr>
          <w:rFonts w:ascii="Adobe Garamond Pro" w:hAnsi="Adobe Garamond Pro"/>
        </w:rPr>
        <w:t xml:space="preserve"> Annual Report </w:t>
      </w:r>
      <w:r w:rsidR="007C5B08">
        <w:rPr>
          <w:rFonts w:ascii="Adobe Garamond Pro" w:hAnsi="Adobe Garamond Pro"/>
        </w:rPr>
        <w:t>can be used for this purpose</w:t>
      </w:r>
      <w:r w:rsidR="005C1EDC">
        <w:rPr>
          <w:rFonts w:ascii="Adobe Garamond Pro" w:hAnsi="Adobe Garamond Pro"/>
        </w:rPr>
        <w:t>.</w:t>
      </w:r>
    </w:p>
    <w:p w14:paraId="55688AC7" w14:textId="77777777" w:rsidR="007C5B08" w:rsidRDefault="007C5B08" w:rsidP="003549D8">
      <w:pPr>
        <w:pStyle w:val="ListParagraph"/>
        <w:ind w:left="0"/>
        <w:jc w:val="both"/>
        <w:rPr>
          <w:rFonts w:ascii="Adobe Garamond Pro" w:hAnsi="Adobe Garamond Pro"/>
        </w:rPr>
      </w:pPr>
    </w:p>
    <w:p w14:paraId="787F6777" w14:textId="4A7DC12C" w:rsidR="003549D8" w:rsidRPr="00741E5C" w:rsidRDefault="003549D8" w:rsidP="003549D8">
      <w:pPr>
        <w:pStyle w:val="ListParagraph"/>
        <w:ind w:left="0"/>
        <w:jc w:val="both"/>
        <w:rPr>
          <w:rFonts w:ascii="Adobe Garamond Pro" w:hAnsi="Adobe Garamond Pro"/>
        </w:rPr>
      </w:pPr>
      <w:r w:rsidRPr="00741E5C">
        <w:rPr>
          <w:rFonts w:ascii="Adobe Garamond Pro" w:hAnsi="Adobe Garamond Pro"/>
        </w:rPr>
        <w:t>Relevant definitions used are:</w:t>
      </w:r>
    </w:p>
    <w:p w14:paraId="7FF73840" w14:textId="77777777" w:rsidR="003549D8" w:rsidRDefault="003549D8" w:rsidP="003549D8">
      <w:pPr>
        <w:pStyle w:val="ListParagraph"/>
        <w:ind w:left="0"/>
        <w:jc w:val="both"/>
        <w:rPr>
          <w:rFonts w:ascii="Adobe Garamond Pro" w:hAnsi="Adobe Garamond Pro"/>
        </w:rPr>
      </w:pPr>
    </w:p>
    <w:p w14:paraId="5B56A7CA" w14:textId="6DC5442A" w:rsidR="001370E0" w:rsidRDefault="001370E0" w:rsidP="001370E0">
      <w:pPr>
        <w:pStyle w:val="ListParagraph"/>
        <w:ind w:left="0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“</w:t>
      </w:r>
      <w:r w:rsidRPr="00DC2F2E">
        <w:rPr>
          <w:rFonts w:ascii="Adobe Garamond Pro" w:hAnsi="Adobe Garamond Pro"/>
          <w:b/>
        </w:rPr>
        <w:t>New matter</w:t>
      </w:r>
      <w:r>
        <w:rPr>
          <w:rFonts w:ascii="Adobe Garamond Pro" w:hAnsi="Adobe Garamond Pro"/>
        </w:rPr>
        <w:t xml:space="preserve">” </w:t>
      </w:r>
      <w:r w:rsidR="00F0440E">
        <w:rPr>
          <w:rFonts w:ascii="Adobe Garamond Pro" w:hAnsi="Adobe Garamond Pro"/>
        </w:rPr>
        <w:t>is</w:t>
      </w:r>
      <w:r w:rsidRPr="003130F6">
        <w:rPr>
          <w:rFonts w:ascii="Adobe Garamond Pro" w:hAnsi="Adobe Garamond Pro"/>
        </w:rPr>
        <w:t xml:space="preserve"> a matter </w:t>
      </w:r>
      <w:r>
        <w:rPr>
          <w:rFonts w:ascii="Adobe Garamond Pro" w:hAnsi="Adobe Garamond Pro"/>
        </w:rPr>
        <w:t>for which a barrister</w:t>
      </w:r>
      <w:r w:rsidRPr="003130F6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is asked to make a </w:t>
      </w:r>
      <w:r>
        <w:rPr>
          <w:rFonts w:ascii="Adobe Garamond Pro" w:hAnsi="Adobe Garamond Pro" w:hint="eastAsia"/>
        </w:rPr>
        <w:t>recommendation</w:t>
      </w:r>
      <w:r>
        <w:rPr>
          <w:rFonts w:ascii="Adobe Garamond Pro" w:hAnsi="Adobe Garamond Pro"/>
        </w:rPr>
        <w:t xml:space="preserve"> </w:t>
      </w:r>
      <w:r w:rsidRPr="003130F6">
        <w:rPr>
          <w:rFonts w:ascii="Adobe Garamond Pro" w:hAnsi="Adobe Garamond Pro"/>
        </w:rPr>
        <w:t xml:space="preserve">for the first time </w:t>
      </w:r>
      <w:r>
        <w:rPr>
          <w:rFonts w:ascii="Adobe Garamond Pro" w:hAnsi="Adobe Garamond Pro"/>
        </w:rPr>
        <w:t>in the reporting year</w:t>
      </w:r>
      <w:r w:rsidRPr="003130F6">
        <w:rPr>
          <w:rFonts w:ascii="Adobe Garamond Pro" w:hAnsi="Adobe Garamond Pro"/>
        </w:rPr>
        <w:t>.</w:t>
      </w:r>
    </w:p>
    <w:p w14:paraId="380BB304" w14:textId="77777777" w:rsidR="001370E0" w:rsidRDefault="001370E0" w:rsidP="001370E0">
      <w:pPr>
        <w:pStyle w:val="ListParagraph"/>
        <w:ind w:left="0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</w:t>
      </w:r>
    </w:p>
    <w:p w14:paraId="0D46B0F8" w14:textId="339815FE" w:rsidR="003549D8" w:rsidRPr="00225B98" w:rsidRDefault="003549D8" w:rsidP="003549D8">
      <w:pPr>
        <w:pStyle w:val="ListParagraph"/>
        <w:ind w:left="0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“</w:t>
      </w:r>
      <w:r w:rsidRPr="00DC2F2E">
        <w:rPr>
          <w:rFonts w:ascii="Adobe Garamond Pro" w:hAnsi="Adobe Garamond Pro"/>
          <w:b/>
        </w:rPr>
        <w:t>Senior barrister</w:t>
      </w:r>
      <w:r w:rsidR="001370E0">
        <w:rPr>
          <w:rFonts w:ascii="Adobe Garamond Pro" w:hAnsi="Adobe Garamond Pro"/>
        </w:rPr>
        <w:t>”</w:t>
      </w:r>
      <w:r>
        <w:rPr>
          <w:rFonts w:ascii="Adobe Garamond Pro" w:hAnsi="Adobe Garamond Pro"/>
        </w:rPr>
        <w:t xml:space="preserve"> </w:t>
      </w:r>
      <w:r w:rsidR="00F0440E">
        <w:rPr>
          <w:rFonts w:ascii="Adobe Garamond Pro" w:hAnsi="Adobe Garamond Pro"/>
        </w:rPr>
        <w:t>is</w:t>
      </w:r>
      <w:r>
        <w:rPr>
          <w:rFonts w:ascii="Adobe Garamond Pro" w:hAnsi="Adobe Garamond Pro"/>
        </w:rPr>
        <w:t xml:space="preserve"> a barrister of 10 years</w:t>
      </w:r>
      <w:r w:rsidR="005C1EDC">
        <w:rPr>
          <w:rFonts w:ascii="Adobe Garamond Pro" w:hAnsi="Adobe Garamond Pro"/>
        </w:rPr>
        <w:t>’</w:t>
      </w:r>
      <w:r>
        <w:rPr>
          <w:rFonts w:ascii="Adobe Garamond Pro" w:hAnsi="Adobe Garamond Pro"/>
        </w:rPr>
        <w:t xml:space="preserve"> or more standing at the independent bar or who is a Queen’s Counsel or Senior Counsel and </w:t>
      </w:r>
      <w:r w:rsidR="001370E0">
        <w:rPr>
          <w:rFonts w:ascii="Adobe Garamond Pro" w:hAnsi="Adobe Garamond Pro"/>
        </w:rPr>
        <w:t>“</w:t>
      </w:r>
      <w:r w:rsidRPr="00DC2F2E">
        <w:rPr>
          <w:rFonts w:ascii="Adobe Garamond Pro" w:hAnsi="Adobe Garamond Pro"/>
          <w:b/>
        </w:rPr>
        <w:t>junior barrister</w:t>
      </w:r>
      <w:r w:rsidR="001370E0">
        <w:rPr>
          <w:rFonts w:ascii="Adobe Garamond Pro" w:hAnsi="Adobe Garamond Pro"/>
        </w:rPr>
        <w:t xml:space="preserve">” </w:t>
      </w:r>
      <w:r>
        <w:rPr>
          <w:rFonts w:ascii="Adobe Garamond Pro" w:hAnsi="Adobe Garamond Pro"/>
        </w:rPr>
        <w:t>means all other barristers.</w:t>
      </w:r>
    </w:p>
    <w:p w14:paraId="3AFA0FE5" w14:textId="4A35E749" w:rsidR="003549D8" w:rsidRDefault="003549D8" w:rsidP="003549D8">
      <w:pPr>
        <w:pStyle w:val="ListParagraph"/>
        <w:ind w:left="0"/>
        <w:jc w:val="both"/>
        <w:rPr>
          <w:rFonts w:ascii="Adobe Garamond Pro" w:hAnsi="Adobe Garamond Pro"/>
        </w:rPr>
      </w:pPr>
    </w:p>
    <w:p w14:paraId="10F6B510" w14:textId="77777777" w:rsidR="003549D8" w:rsidRDefault="003549D8" w:rsidP="003549D8">
      <w:pPr>
        <w:pStyle w:val="ListParagraph"/>
        <w:ind w:left="0"/>
        <w:jc w:val="both"/>
        <w:rPr>
          <w:rFonts w:ascii="Adobe Garamond Pro" w:hAnsi="Adobe Garamond Pro"/>
        </w:rPr>
        <w:sectPr w:rsidR="003549D8" w:rsidSect="009C447B">
          <w:footerReference w:type="even" r:id="rId8"/>
          <w:footerReference w:type="default" r:id="rId9"/>
          <w:pgSz w:w="11906" w:h="16838"/>
          <w:pgMar w:top="567" w:right="1440" w:bottom="1440" w:left="1440" w:header="284" w:footer="709" w:gutter="0"/>
          <w:cols w:space="708"/>
          <w:titlePg/>
          <w:docGrid w:linePitch="360"/>
        </w:sectPr>
      </w:pPr>
    </w:p>
    <w:p w14:paraId="6E69F5A4" w14:textId="6DBC1610" w:rsidR="00B05982" w:rsidRPr="00B76444" w:rsidRDefault="00B76444" w:rsidP="00B76444">
      <w:pPr>
        <w:jc w:val="center"/>
        <w:rPr>
          <w:rFonts w:ascii="Adobe Garamond Pro" w:hAnsi="Adobe Garamond Pro"/>
          <w:b/>
          <w:sz w:val="26"/>
          <w:u w:val="single"/>
        </w:rPr>
      </w:pPr>
      <w:r w:rsidRPr="00B76444">
        <w:rPr>
          <w:rFonts w:ascii="Adobe Garamond Pro" w:hAnsi="Adobe Garamond Pro"/>
          <w:b/>
          <w:sz w:val="26"/>
          <w:u w:val="single"/>
        </w:rPr>
        <w:lastRenderedPageBreak/>
        <w:t>WORKSHEET</w:t>
      </w:r>
    </w:p>
    <w:p w14:paraId="63A74E82" w14:textId="645DBED3" w:rsidR="00B76444" w:rsidRDefault="00017667" w:rsidP="00B76444">
      <w:pPr>
        <w:jc w:val="center"/>
        <w:rPr>
          <w:rFonts w:ascii="Adobe Garamond Pro" w:hAnsi="Adobe Garamond Pro"/>
          <w:b/>
          <w:u w:val="single"/>
        </w:rPr>
      </w:pPr>
      <w:r>
        <w:rPr>
          <w:rFonts w:ascii="Adobe Garamond Pro" w:hAnsi="Adobe Garamond Pro"/>
          <w:b/>
          <w:u w:val="single"/>
        </w:rPr>
        <w:t>(If more than one barrister has been recommended or briefed with you, use a separate line for each such barrister)</w:t>
      </w:r>
    </w:p>
    <w:tbl>
      <w:tblPr>
        <w:tblW w:w="14884" w:type="dxa"/>
        <w:tblInd w:w="13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8"/>
        <w:gridCol w:w="31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7DC5" w:rsidRPr="00D2715A" w14:paraId="4E217A63" w14:textId="46E22611" w:rsidTr="00167DC5">
        <w:trPr>
          <w:trHeight w:val="70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DABB482" w14:textId="77777777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</w:p>
          <w:p w14:paraId="6E6E5952" w14:textId="0BC9897A" w:rsidR="00E741B2" w:rsidRPr="00D2715A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14:paraId="4E1DB2FA" w14:textId="77777777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</w:p>
          <w:p w14:paraId="5F6637F9" w14:textId="25101AA9" w:rsidR="00E741B2" w:rsidRPr="00D2715A" w:rsidRDefault="00167DC5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 xml:space="preserve">Name or Type of </w:t>
            </w:r>
            <w:r w:rsidR="00E741B2" w:rsidRPr="00D2715A"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>Matter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8C3FCB8" w14:textId="77777777" w:rsidR="00167DC5" w:rsidRDefault="00167DC5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</w:p>
          <w:p w14:paraId="6F7E26A4" w14:textId="58D544F9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 xml:space="preserve">New Matter? </w:t>
            </w:r>
          </w:p>
          <w:p w14:paraId="559D63F4" w14:textId="77777777" w:rsidR="00E741B2" w:rsidRPr="00D2715A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>(Yes/No)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C23700" w14:textId="42AE7F73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 xml:space="preserve">Recommendations made by a senior barrister (including by you if you are a senior barrister) (if known)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78B240" w14:textId="77777777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 xml:space="preserve">Recommendations made by </w:t>
            </w:r>
          </w:p>
          <w:p w14:paraId="45C4D92F" w14:textId="6DB88BD9" w:rsidR="00E741B2" w:rsidRDefault="00E741B2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>a junior barrister (including by you if you are a junior barrister) (if known)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DB30DE" w14:textId="0F380AA1" w:rsidR="00E741B2" w:rsidRDefault="00167DC5" w:rsidP="00AA712A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>If briefed, other b</w:t>
            </w:r>
            <w:r w:rsidR="00E741B2">
              <w:rPr>
                <w:rFonts w:ascii="Adobe Garamond Pro" w:eastAsia="Times New Roman" w:hAnsi="Adobe Garamond Pro" w:cs="Calibri"/>
                <w:b/>
                <w:bCs/>
                <w:color w:val="000000"/>
                <w:lang w:eastAsia="en-AU"/>
              </w:rPr>
              <w:t xml:space="preserve">arristers briefed with you </w:t>
            </w:r>
          </w:p>
        </w:tc>
      </w:tr>
      <w:tr w:rsidR="00167DC5" w:rsidRPr="00D2715A" w14:paraId="3CBB7F77" w14:textId="13697645" w:rsidTr="00167DC5">
        <w:trPr>
          <w:trHeight w:val="497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56100AD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63EF73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5E5D956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5B1CEF" w14:textId="77777777" w:rsidR="00E741B2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Gender</w:t>
            </w:r>
          </w:p>
          <w:p w14:paraId="39CC878F" w14:textId="1D2B724C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(Female/Male)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CF6765" w14:textId="77777777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Senior/</w:t>
            </w:r>
          </w:p>
          <w:p w14:paraId="76795EA0" w14:textId="72BE5F49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Junior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A6C4F" w14:textId="77777777" w:rsidR="00E741B2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Briefed?</w:t>
            </w:r>
          </w:p>
          <w:p w14:paraId="29300C9F" w14:textId="1B068E43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(Yes/No)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DCF6174" w14:textId="4A0A280F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Gender (</w:t>
            </w: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Female/</w:t>
            </w:r>
          </w:p>
          <w:p w14:paraId="77DA753B" w14:textId="02AFA9D6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Male</w:t>
            </w: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14:paraId="12D04D53" w14:textId="77777777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Senior/</w:t>
            </w:r>
          </w:p>
          <w:p w14:paraId="5C332A6A" w14:textId="77777777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 w:rsidRPr="00D2715A"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Junior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7380E" w14:textId="548C3E2E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Briefed? (Yes/No)</w:t>
            </w:r>
          </w:p>
          <w:p w14:paraId="36CE4109" w14:textId="34674F35" w:rsidR="00E741B2" w:rsidRPr="00D2715A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C5F89B" w14:textId="190DBE9B" w:rsidR="00E741B2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Gender (Female/Male)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E1C75B" w14:textId="77777777" w:rsidR="00167DC5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Senior/</w:t>
            </w:r>
          </w:p>
          <w:p w14:paraId="4FEB0145" w14:textId="3D97A6AB" w:rsidR="00E741B2" w:rsidRDefault="00E741B2" w:rsidP="00E741B2">
            <w:pPr>
              <w:spacing w:after="0" w:line="240" w:lineRule="auto"/>
              <w:jc w:val="center"/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dobe Garamond Pro" w:eastAsia="Times New Roman" w:hAnsi="Adobe Garamond Pro" w:cs="Calibri"/>
                <w:b/>
                <w:color w:val="000000"/>
                <w:sz w:val="20"/>
                <w:szCs w:val="20"/>
                <w:lang w:eastAsia="en-AU"/>
              </w:rPr>
              <w:t>Junior</w:t>
            </w:r>
          </w:p>
        </w:tc>
      </w:tr>
      <w:tr w:rsidR="00E741B2" w:rsidRPr="00D2715A" w14:paraId="72C76B54" w14:textId="059C837F" w:rsidTr="00167DC5">
        <w:trPr>
          <w:trHeight w:val="4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C87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EB8DEC3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D500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CD1299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517E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2E33D3A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59A3" w14:textId="33610A34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86C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AF0EC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40C9D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D40ED" w14:textId="77777777" w:rsidR="00E741B2" w:rsidRPr="00D2715A" w:rsidRDefault="00E741B2" w:rsidP="00E741B2">
            <w:pPr>
              <w:spacing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14:paraId="37178A9C" w14:textId="5A60C13A" w:rsidTr="00167DC5">
        <w:trPr>
          <w:trHeight w:val="423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231E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F422D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99681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1D07D4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2198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59E46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AB21" w14:textId="42B0D660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E9C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1A6DC" w14:textId="77777777" w:rsidR="00E741B2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B7AA14" w14:textId="77777777" w:rsidR="00E741B2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E1B4F2" w14:textId="77777777" w:rsidR="00E741B2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5A5CB63F" w14:textId="09E790D1" w:rsidTr="00167DC5">
        <w:trPr>
          <w:trHeight w:val="415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629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2BB4C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7E0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2FD8A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8310E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F9E8F2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C2BC" w14:textId="5D9CECA8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6F4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A3EDF4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BEA9F3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AB60CB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573A3DC3" w14:textId="30AD0E6F" w:rsidTr="00167DC5">
        <w:trPr>
          <w:trHeight w:val="434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B7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3518E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8194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EEF03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20F1A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8A225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EA00" w14:textId="00E66CF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D6AB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AE593A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4A0144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F851F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3052787A" w14:textId="4072FD6F" w:rsidTr="00167DC5">
        <w:trPr>
          <w:trHeight w:val="413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5680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E3659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F35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87B775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EE0E3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261D7C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7E97" w14:textId="215517B6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37DA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20F38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89290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7158E1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12DF8477" w14:textId="156B6324" w:rsidTr="00167DC5">
        <w:trPr>
          <w:trHeight w:val="433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BAE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E3474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1EF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93E202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22A50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2E12C2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0882" w14:textId="3E4600A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12CF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19C1E3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0A75F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C726C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184A576E" w14:textId="1A27A42B" w:rsidTr="00167DC5">
        <w:trPr>
          <w:trHeight w:val="425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929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A957A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E010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33BA3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B7F7D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D6980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8E57" w14:textId="5B927231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993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AA52E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69C2FF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D1D37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79A6C872" w14:textId="75AA983A" w:rsidTr="00167DC5">
        <w:trPr>
          <w:trHeight w:val="430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33E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63708C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797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EC9A24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21DBD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9B9A2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5C10" w14:textId="6E933888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B47E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36D18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AA5E4E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9EF02B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4747A65A" w14:textId="68706847" w:rsidTr="00167DC5">
        <w:trPr>
          <w:trHeight w:val="409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C37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AB5E0F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74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309449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56D17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26EA83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964" w14:textId="3C759060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9DAD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8E7B5F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30BC35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5D50A6" w14:textId="77777777" w:rsidR="00E741B2" w:rsidRPr="00D2715A" w:rsidRDefault="00E741B2" w:rsidP="00E741B2">
            <w:pPr>
              <w:spacing w:before="120" w:after="0" w:line="240" w:lineRule="auto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  <w:tr w:rsidR="00E741B2" w:rsidRPr="00D2715A" w14:paraId="38E2BCA6" w14:textId="05EBB684" w:rsidTr="00167DC5">
        <w:trPr>
          <w:trHeight w:val="443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68C6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5F3A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121C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BD860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EA6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CCA1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6E13" w14:textId="4D253840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A7B1" w14:textId="77777777" w:rsidR="00E741B2" w:rsidRPr="00D2715A" w:rsidRDefault="00E741B2" w:rsidP="00E741B2">
            <w:pPr>
              <w:spacing w:before="120"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A18596" w14:textId="77777777" w:rsidR="00E741B2" w:rsidRPr="00D2715A" w:rsidRDefault="00E741B2" w:rsidP="00E741B2">
            <w:pPr>
              <w:spacing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633859" w14:textId="77777777" w:rsidR="00E741B2" w:rsidRPr="00D2715A" w:rsidRDefault="00E741B2" w:rsidP="00E741B2">
            <w:pPr>
              <w:spacing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C5A0FF" w14:textId="77777777" w:rsidR="00E741B2" w:rsidRPr="00D2715A" w:rsidRDefault="00E741B2" w:rsidP="00E741B2">
            <w:pPr>
              <w:spacing w:after="0" w:line="240" w:lineRule="auto"/>
              <w:ind w:right="1374"/>
              <w:rPr>
                <w:rFonts w:ascii="Adobe Garamond Pro" w:eastAsia="Times New Roman" w:hAnsi="Adobe Garamond Pro" w:cs="Calibri"/>
                <w:color w:val="000000"/>
                <w:lang w:eastAsia="en-AU"/>
              </w:rPr>
            </w:pPr>
          </w:p>
        </w:tc>
      </w:tr>
    </w:tbl>
    <w:p w14:paraId="72017E13" w14:textId="22C59C72" w:rsidR="00B05982" w:rsidRDefault="00B05982" w:rsidP="001370E0">
      <w:pPr>
        <w:rPr>
          <w:rFonts w:ascii="Adobe Garamond Pro" w:hAnsi="Adobe Garamond Pro"/>
          <w:b/>
          <w:u w:val="single"/>
        </w:rPr>
      </w:pPr>
    </w:p>
    <w:p w14:paraId="4A2E1542" w14:textId="77777777" w:rsidR="003549D8" w:rsidRDefault="003549D8" w:rsidP="001D43AF">
      <w:pPr>
        <w:jc w:val="center"/>
        <w:rPr>
          <w:rFonts w:ascii="Adobe Garamond Pro" w:hAnsi="Adobe Garamond Pro"/>
          <w:b/>
          <w:u w:val="single"/>
        </w:rPr>
        <w:sectPr w:rsidR="003549D8" w:rsidSect="003549D8">
          <w:pgSz w:w="16838" w:h="11906" w:orient="landscape"/>
          <w:pgMar w:top="1440" w:right="1440" w:bottom="1440" w:left="567" w:header="284" w:footer="709" w:gutter="0"/>
          <w:cols w:space="708"/>
          <w:titlePg/>
          <w:docGrid w:linePitch="360"/>
        </w:sectPr>
      </w:pPr>
    </w:p>
    <w:p w14:paraId="3E4E9584" w14:textId="56DBD2AD" w:rsidR="00B05982" w:rsidRDefault="00B05982" w:rsidP="001D43AF">
      <w:pPr>
        <w:jc w:val="center"/>
        <w:rPr>
          <w:rFonts w:ascii="Adobe Garamond Pro" w:hAnsi="Adobe Garamond Pro"/>
          <w:b/>
          <w:u w:val="single"/>
        </w:rPr>
      </w:pPr>
    </w:p>
    <w:p w14:paraId="62106FD8" w14:textId="028CCB42" w:rsidR="00CD5AAF" w:rsidRPr="00E741B2" w:rsidRDefault="00E741B2" w:rsidP="00E741B2">
      <w:pPr>
        <w:spacing w:after="120" w:line="240" w:lineRule="auto"/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EQUITABLE BRIEFING POLICY </w:t>
      </w:r>
      <w:r w:rsidR="001370E0" w:rsidRPr="00E741B2">
        <w:rPr>
          <w:rFonts w:ascii="Adobe Garamond Pro" w:hAnsi="Adobe Garamond Pro"/>
          <w:b/>
        </w:rPr>
        <w:t xml:space="preserve">ANNUAL </w:t>
      </w:r>
      <w:r w:rsidR="005D7CE7" w:rsidRPr="00E741B2">
        <w:rPr>
          <w:rFonts w:ascii="Adobe Garamond Pro" w:hAnsi="Adobe Garamond Pro"/>
          <w:b/>
        </w:rPr>
        <w:t>REPORT</w:t>
      </w:r>
    </w:p>
    <w:p w14:paraId="787FE0AB" w14:textId="4DFF6B98" w:rsidR="006220B9" w:rsidRPr="00E741B2" w:rsidRDefault="00E741B2" w:rsidP="00E741B2">
      <w:pPr>
        <w:spacing w:after="120" w:line="240" w:lineRule="auto"/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(</w:t>
      </w:r>
      <w:r w:rsidR="001370E0" w:rsidRPr="00E741B2">
        <w:rPr>
          <w:rFonts w:ascii="Adobe Garamond Pro" w:hAnsi="Adobe Garamond Pro"/>
          <w:b/>
        </w:rPr>
        <w:t>Reporting period is 1 July to 30 June</w:t>
      </w:r>
      <w:r w:rsidR="006220B9" w:rsidRPr="00E741B2">
        <w:rPr>
          <w:rFonts w:ascii="Adobe Garamond Pro" w:hAnsi="Adobe Garamond Pro"/>
          <w:b/>
        </w:rPr>
        <w:t>; report is due by 30 September</w:t>
      </w:r>
      <w:r>
        <w:rPr>
          <w:rFonts w:ascii="Adobe Garamond Pro" w:hAnsi="Adobe Garamond Pro"/>
          <w:b/>
        </w:rPr>
        <w:t>)</w:t>
      </w:r>
    </w:p>
    <w:p w14:paraId="1BFCB75A" w14:textId="77777777" w:rsidR="001370E0" w:rsidRPr="005D7CE7" w:rsidRDefault="001370E0" w:rsidP="00E741B2">
      <w:pPr>
        <w:spacing w:after="120" w:line="240" w:lineRule="auto"/>
        <w:jc w:val="center"/>
        <w:rPr>
          <w:rFonts w:ascii="Adobe Garamond Pro" w:hAnsi="Adobe Garamond Pro"/>
          <w:b/>
          <w:u w:val="single"/>
        </w:rPr>
      </w:pPr>
    </w:p>
    <w:p w14:paraId="2B9FA6A8" w14:textId="6E5E59D2" w:rsidR="001D43AF" w:rsidRPr="00E741B2" w:rsidRDefault="005D7CE7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Barrister Name:</w:t>
      </w:r>
      <w:r w:rsidRPr="00E741B2">
        <w:rPr>
          <w:rFonts w:ascii="Adobe Garamond Pro" w:hAnsi="Adobe Garamond Pro"/>
        </w:rPr>
        <w:tab/>
      </w:r>
      <w:r w:rsidR="00E741B2" w:rsidRPr="00E741B2">
        <w:rPr>
          <w:rFonts w:ascii="Adobe Garamond Pro" w:hAnsi="Adobe Garamond Pro"/>
        </w:rPr>
        <w:tab/>
      </w:r>
      <w:r w:rsidR="00E741B2">
        <w:rPr>
          <w:rFonts w:ascii="Adobe Garamond Pro" w:hAnsi="Adobe Garamond Pro"/>
        </w:rPr>
        <w:tab/>
      </w:r>
    </w:p>
    <w:p w14:paraId="2E376F98" w14:textId="7B081D49" w:rsidR="00E741B2" w:rsidRPr="00E741B2" w:rsidRDefault="00E741B2" w:rsidP="00E741B2">
      <w:pPr>
        <w:spacing w:after="120" w:line="240" w:lineRule="auto"/>
        <w:rPr>
          <w:rFonts w:ascii="Adobe Garamond Pro" w:hAnsi="Adobe Garamond Pro"/>
        </w:rPr>
      </w:pPr>
      <w:r>
        <w:rPr>
          <w:rFonts w:ascii="Adobe Garamond Pro" w:hAnsi="Adobe Garamond Pro"/>
        </w:rPr>
        <w:t>Senior or Junior barrister:</w:t>
      </w:r>
      <w:r w:rsidRPr="00E741B2">
        <w:rPr>
          <w:rFonts w:ascii="Adobe Garamond Pro" w:hAnsi="Adobe Garamond Pro"/>
        </w:rPr>
        <w:tab/>
      </w:r>
    </w:p>
    <w:p w14:paraId="26C9582B" w14:textId="064AB550" w:rsidR="005D7CE7" w:rsidRPr="00E741B2" w:rsidRDefault="005D7CE7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Reporting Period:</w:t>
      </w:r>
      <w:r w:rsidRPr="00E741B2">
        <w:rPr>
          <w:rFonts w:ascii="Adobe Garamond Pro" w:hAnsi="Adobe Garamond Pro"/>
        </w:rPr>
        <w:tab/>
      </w:r>
      <w:r w:rsidR="00E741B2" w:rsidRPr="00E741B2">
        <w:rPr>
          <w:rFonts w:ascii="Adobe Garamond Pro" w:hAnsi="Adobe Garamond Pro"/>
        </w:rPr>
        <w:tab/>
      </w:r>
    </w:p>
    <w:p w14:paraId="15483AFF" w14:textId="7B1A6B2B" w:rsidR="005D7CE7" w:rsidRPr="00E741B2" w:rsidRDefault="005D7CE7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Report Date:</w:t>
      </w:r>
      <w:r w:rsidR="00551FD5" w:rsidRPr="00E741B2">
        <w:rPr>
          <w:rFonts w:ascii="Adobe Garamond Pro" w:hAnsi="Adobe Garamond Pro"/>
        </w:rPr>
        <w:tab/>
      </w:r>
      <w:r w:rsidR="00551FD5" w:rsidRPr="00E741B2">
        <w:rPr>
          <w:rFonts w:ascii="Adobe Garamond Pro" w:hAnsi="Adobe Garamond Pro"/>
        </w:rPr>
        <w:tab/>
      </w:r>
      <w:r w:rsidR="00E741B2" w:rsidRPr="00E741B2">
        <w:rPr>
          <w:rFonts w:ascii="Adobe Garamond Pro" w:hAnsi="Adobe Garamond Pro"/>
        </w:rPr>
        <w:tab/>
      </w:r>
    </w:p>
    <w:p w14:paraId="0F0C0628" w14:textId="77777777" w:rsidR="005D7CE7" w:rsidRPr="005D7CE7" w:rsidRDefault="005D7CE7" w:rsidP="00E741B2">
      <w:pPr>
        <w:spacing w:after="120" w:line="240" w:lineRule="auto"/>
        <w:rPr>
          <w:rFonts w:ascii="Adobe Garamond Pro" w:hAnsi="Adobe Garamond Pro"/>
          <w:b/>
        </w:rPr>
      </w:pPr>
    </w:p>
    <w:p w14:paraId="3FCEE39D" w14:textId="77777777" w:rsidR="00E741B2" w:rsidRDefault="00327DC2" w:rsidP="00E741B2">
      <w:pPr>
        <w:spacing w:after="0" w:line="240" w:lineRule="auto"/>
        <w:jc w:val="center"/>
        <w:rPr>
          <w:rFonts w:ascii="Adobe Garamond Pro" w:hAnsi="Adobe Garamond Pro"/>
          <w:b/>
        </w:rPr>
      </w:pPr>
      <w:r w:rsidRPr="00E741B2">
        <w:rPr>
          <w:rFonts w:ascii="Adobe Garamond Pro" w:hAnsi="Adobe Garamond Pro"/>
          <w:b/>
        </w:rPr>
        <w:t xml:space="preserve">TOTALS </w:t>
      </w:r>
    </w:p>
    <w:p w14:paraId="5B54E4E0" w14:textId="44D1CDBF" w:rsidR="00327DC2" w:rsidRPr="00E741B2" w:rsidRDefault="00327DC2" w:rsidP="00E741B2">
      <w:pPr>
        <w:spacing w:after="120" w:line="240" w:lineRule="auto"/>
        <w:jc w:val="center"/>
        <w:rPr>
          <w:rFonts w:ascii="Adobe Garamond Pro" w:hAnsi="Adobe Garamond Pro"/>
          <w:b/>
        </w:rPr>
      </w:pPr>
      <w:r w:rsidRPr="00E741B2">
        <w:rPr>
          <w:rFonts w:ascii="Adobe Garamond Pro" w:hAnsi="Adobe Garamond Pro"/>
          <w:b/>
        </w:rPr>
        <w:t>(</w:t>
      </w:r>
      <w:r w:rsidR="0006023B" w:rsidRPr="00E741B2">
        <w:rPr>
          <w:rFonts w:ascii="Adobe Garamond Pro" w:hAnsi="Adobe Garamond Pro"/>
          <w:b/>
        </w:rPr>
        <w:t xml:space="preserve">expressed as </w:t>
      </w:r>
      <w:r w:rsidRPr="00E741B2">
        <w:rPr>
          <w:rFonts w:ascii="Adobe Garamond Pro" w:hAnsi="Adobe Garamond Pro"/>
          <w:b/>
        </w:rPr>
        <w:t>number of barristers)</w:t>
      </w:r>
    </w:p>
    <w:p w14:paraId="1860830A" w14:textId="77777777" w:rsidR="001370E0" w:rsidRDefault="001370E0" w:rsidP="00E741B2">
      <w:pPr>
        <w:spacing w:after="120" w:line="240" w:lineRule="auto"/>
        <w:rPr>
          <w:rFonts w:ascii="Adobe Garamond Pro" w:hAnsi="Adobe Garamond Pro"/>
          <w:b/>
          <w:u w:val="single"/>
        </w:rPr>
      </w:pPr>
    </w:p>
    <w:p w14:paraId="6BC97305" w14:textId="7AD17F0D" w:rsidR="006220B9" w:rsidRPr="00E741B2" w:rsidRDefault="00E741B2" w:rsidP="00E741B2">
      <w:pPr>
        <w:spacing w:after="120" w:line="240" w:lineRule="auto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Barristers briefed with y</w:t>
      </w:r>
      <w:r w:rsidR="006220B9" w:rsidRPr="00E741B2">
        <w:rPr>
          <w:rFonts w:ascii="Adobe Garamond Pro" w:hAnsi="Adobe Garamond Pro"/>
          <w:b/>
        </w:rPr>
        <w:t xml:space="preserve">ou during the </w:t>
      </w:r>
      <w:r>
        <w:rPr>
          <w:rFonts w:ascii="Adobe Garamond Pro" w:hAnsi="Adobe Garamond Pro"/>
          <w:b/>
        </w:rPr>
        <w:t>r</w:t>
      </w:r>
      <w:r w:rsidR="006220B9" w:rsidRPr="00E741B2">
        <w:rPr>
          <w:rFonts w:ascii="Adobe Garamond Pro" w:hAnsi="Adobe Garamond Pro"/>
          <w:b/>
        </w:rPr>
        <w:t xml:space="preserve">eporting </w:t>
      </w:r>
      <w:r>
        <w:rPr>
          <w:rFonts w:ascii="Adobe Garamond Pro" w:hAnsi="Adobe Garamond Pro"/>
          <w:b/>
        </w:rPr>
        <w:t>p</w:t>
      </w:r>
      <w:r w:rsidR="006220B9" w:rsidRPr="00E741B2">
        <w:rPr>
          <w:rFonts w:ascii="Adobe Garamond Pro" w:hAnsi="Adobe Garamond Pro"/>
          <w:b/>
        </w:rPr>
        <w:t>eriod</w:t>
      </w:r>
    </w:p>
    <w:p w14:paraId="2A4E6A8C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1D5A4DB6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2C63F238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1150238A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6593F074" w14:textId="77777777" w:rsidR="006220B9" w:rsidRDefault="006220B9" w:rsidP="00E741B2">
      <w:pPr>
        <w:spacing w:after="120" w:line="240" w:lineRule="auto"/>
        <w:rPr>
          <w:rFonts w:ascii="Adobe Garamond Pro" w:hAnsi="Adobe Garamond Pro"/>
          <w:b/>
          <w:u w:val="single"/>
        </w:rPr>
      </w:pPr>
    </w:p>
    <w:p w14:paraId="783DCD33" w14:textId="7E6E7D6F" w:rsidR="001370E0" w:rsidRPr="00E741B2" w:rsidRDefault="00E741B2" w:rsidP="00E741B2">
      <w:pPr>
        <w:spacing w:after="120" w:line="240" w:lineRule="auto"/>
        <w:jc w:val="both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Barristers r</w:t>
      </w:r>
      <w:r w:rsidR="006220B9" w:rsidRPr="00E741B2">
        <w:rPr>
          <w:rFonts w:ascii="Adobe Garamond Pro" w:hAnsi="Adobe Garamond Pro"/>
          <w:b/>
        </w:rPr>
        <w:t xml:space="preserve">ecommended by </w:t>
      </w:r>
      <w:r>
        <w:rPr>
          <w:rFonts w:ascii="Adobe Garamond Pro" w:hAnsi="Adobe Garamond Pro"/>
          <w:b/>
        </w:rPr>
        <w:t>a s</w:t>
      </w:r>
      <w:r w:rsidR="00C17F2E" w:rsidRPr="00E741B2">
        <w:rPr>
          <w:rFonts w:ascii="Adobe Garamond Pro" w:hAnsi="Adobe Garamond Pro"/>
          <w:b/>
        </w:rPr>
        <w:t xml:space="preserve">enior </w:t>
      </w:r>
      <w:r>
        <w:rPr>
          <w:rFonts w:ascii="Adobe Garamond Pro" w:hAnsi="Adobe Garamond Pro"/>
          <w:b/>
        </w:rPr>
        <w:t>b</w:t>
      </w:r>
      <w:r w:rsidR="00C17F2E" w:rsidRPr="00E741B2">
        <w:rPr>
          <w:rFonts w:ascii="Adobe Garamond Pro" w:hAnsi="Adobe Garamond Pro"/>
          <w:b/>
        </w:rPr>
        <w:t>arrister</w:t>
      </w:r>
      <w:r w:rsidR="006220B9" w:rsidRPr="00E741B2">
        <w:rPr>
          <w:rFonts w:ascii="Adobe Garamond Pro" w:hAnsi="Adobe Garamond Pro"/>
          <w:b/>
        </w:rPr>
        <w:t xml:space="preserve"> </w:t>
      </w:r>
      <w:r w:rsidRPr="00E741B2">
        <w:rPr>
          <w:rFonts w:ascii="Adobe Garamond Pro" w:hAnsi="Adobe Garamond Pro"/>
          <w:b/>
        </w:rPr>
        <w:t xml:space="preserve">(including by you if you are a senior barrister) </w:t>
      </w:r>
      <w:r w:rsidR="006220B9" w:rsidRPr="00E741B2">
        <w:rPr>
          <w:rFonts w:ascii="Adobe Garamond Pro" w:hAnsi="Adobe Garamond Pro"/>
          <w:b/>
        </w:rPr>
        <w:t xml:space="preserve">during the </w:t>
      </w:r>
      <w:r>
        <w:rPr>
          <w:rFonts w:ascii="Adobe Garamond Pro" w:hAnsi="Adobe Garamond Pro"/>
          <w:b/>
        </w:rPr>
        <w:t>r</w:t>
      </w:r>
      <w:r w:rsidR="006220B9" w:rsidRPr="00E741B2">
        <w:rPr>
          <w:rFonts w:ascii="Adobe Garamond Pro" w:hAnsi="Adobe Garamond Pro"/>
          <w:b/>
        </w:rPr>
        <w:t xml:space="preserve">eporting </w:t>
      </w:r>
      <w:r>
        <w:rPr>
          <w:rFonts w:ascii="Adobe Garamond Pro" w:hAnsi="Adobe Garamond Pro"/>
          <w:b/>
        </w:rPr>
        <w:t>p</w:t>
      </w:r>
      <w:r w:rsidR="006220B9" w:rsidRPr="00E741B2">
        <w:rPr>
          <w:rFonts w:ascii="Adobe Garamond Pro" w:hAnsi="Adobe Garamond Pro"/>
          <w:b/>
        </w:rPr>
        <w:t>eriod</w:t>
      </w:r>
    </w:p>
    <w:p w14:paraId="75F61FF9" w14:textId="77777777" w:rsidR="001370E0" w:rsidRPr="00E741B2" w:rsidRDefault="001370E0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7E359CCC" w14:textId="77777777" w:rsidR="001370E0" w:rsidRPr="00E741B2" w:rsidRDefault="001370E0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69CD3C5C" w14:textId="77777777" w:rsidR="001370E0" w:rsidRPr="00E741B2" w:rsidRDefault="001370E0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0191982D" w14:textId="77777777" w:rsidR="001370E0" w:rsidRPr="00E741B2" w:rsidRDefault="001370E0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4987A866" w14:textId="0BE1931B" w:rsidR="001370E0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Number briefed: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62773D28" w14:textId="77777777" w:rsidR="001370E0" w:rsidRDefault="001370E0" w:rsidP="00E741B2">
      <w:pPr>
        <w:spacing w:after="120" w:line="240" w:lineRule="auto"/>
        <w:rPr>
          <w:rFonts w:ascii="Adobe Garamond Pro" w:hAnsi="Adobe Garamond Pro"/>
          <w:b/>
          <w:u w:val="single"/>
        </w:rPr>
      </w:pPr>
    </w:p>
    <w:p w14:paraId="36CA79D7" w14:textId="1E916277" w:rsidR="00E741B2" w:rsidRPr="00E741B2" w:rsidRDefault="00E741B2" w:rsidP="00E741B2">
      <w:pPr>
        <w:spacing w:after="120" w:line="240" w:lineRule="auto"/>
        <w:jc w:val="both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Barristers r</w:t>
      </w:r>
      <w:r w:rsidRPr="00E741B2">
        <w:rPr>
          <w:rFonts w:ascii="Adobe Garamond Pro" w:hAnsi="Adobe Garamond Pro"/>
          <w:b/>
        </w:rPr>
        <w:t xml:space="preserve">ecommended by </w:t>
      </w:r>
      <w:r>
        <w:rPr>
          <w:rFonts w:ascii="Adobe Garamond Pro" w:hAnsi="Adobe Garamond Pro"/>
          <w:b/>
        </w:rPr>
        <w:t>a junior</w:t>
      </w:r>
      <w:r w:rsidRPr="00E741B2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b</w:t>
      </w:r>
      <w:r w:rsidRPr="00E741B2">
        <w:rPr>
          <w:rFonts w:ascii="Adobe Garamond Pro" w:hAnsi="Adobe Garamond Pro"/>
          <w:b/>
        </w:rPr>
        <w:t xml:space="preserve">arrister (including by you if you are a </w:t>
      </w:r>
      <w:r>
        <w:rPr>
          <w:rFonts w:ascii="Adobe Garamond Pro" w:hAnsi="Adobe Garamond Pro"/>
          <w:b/>
        </w:rPr>
        <w:t>junior</w:t>
      </w:r>
      <w:r w:rsidRPr="00E741B2">
        <w:rPr>
          <w:rFonts w:ascii="Adobe Garamond Pro" w:hAnsi="Adobe Garamond Pro"/>
          <w:b/>
        </w:rPr>
        <w:t xml:space="preserve"> barrister) during the </w:t>
      </w:r>
      <w:r>
        <w:rPr>
          <w:rFonts w:ascii="Adobe Garamond Pro" w:hAnsi="Adobe Garamond Pro"/>
          <w:b/>
        </w:rPr>
        <w:t>r</w:t>
      </w:r>
      <w:r w:rsidRPr="00E741B2">
        <w:rPr>
          <w:rFonts w:ascii="Adobe Garamond Pro" w:hAnsi="Adobe Garamond Pro"/>
          <w:b/>
        </w:rPr>
        <w:t xml:space="preserve">eporting </w:t>
      </w:r>
      <w:r>
        <w:rPr>
          <w:rFonts w:ascii="Adobe Garamond Pro" w:hAnsi="Adobe Garamond Pro"/>
          <w:b/>
        </w:rPr>
        <w:t>p</w:t>
      </w:r>
      <w:r w:rsidRPr="00E741B2">
        <w:rPr>
          <w:rFonts w:ascii="Adobe Garamond Pro" w:hAnsi="Adobe Garamond Pro"/>
          <w:b/>
        </w:rPr>
        <w:t>eriod</w:t>
      </w:r>
    </w:p>
    <w:p w14:paraId="654EF1BD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209CBDB3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female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38262DEE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senior: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2BBCDC41" w14:textId="77777777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male junior: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075A6675" w14:textId="45CFA96B" w:rsidR="006220B9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Number briefed: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p w14:paraId="054D4CC8" w14:textId="77777777" w:rsidR="006220B9" w:rsidRDefault="006220B9" w:rsidP="00E741B2">
      <w:pPr>
        <w:spacing w:after="120" w:line="240" w:lineRule="auto"/>
        <w:rPr>
          <w:rFonts w:ascii="Adobe Garamond Pro" w:hAnsi="Adobe Garamond Pro"/>
          <w:b/>
        </w:rPr>
      </w:pPr>
    </w:p>
    <w:p w14:paraId="32195CDD" w14:textId="6161DF92" w:rsidR="006220B9" w:rsidRPr="00E741B2" w:rsidRDefault="006220B9" w:rsidP="00E741B2">
      <w:pPr>
        <w:spacing w:after="120" w:line="240" w:lineRule="auto"/>
        <w:jc w:val="both"/>
        <w:rPr>
          <w:rFonts w:ascii="Adobe Garamond Pro" w:hAnsi="Adobe Garamond Pro"/>
          <w:b/>
        </w:rPr>
      </w:pPr>
      <w:r w:rsidRPr="00E741B2">
        <w:rPr>
          <w:rFonts w:ascii="Adobe Garamond Pro" w:hAnsi="Adobe Garamond Pro"/>
          <w:b/>
        </w:rPr>
        <w:t xml:space="preserve">New matters in which </w:t>
      </w:r>
      <w:r w:rsidR="00E741B2">
        <w:rPr>
          <w:rFonts w:ascii="Adobe Garamond Pro" w:hAnsi="Adobe Garamond Pro"/>
          <w:b/>
        </w:rPr>
        <w:t>you or other b</w:t>
      </w:r>
      <w:r w:rsidRPr="00E741B2">
        <w:rPr>
          <w:rFonts w:ascii="Adobe Garamond Pro" w:hAnsi="Adobe Garamond Pro"/>
          <w:b/>
        </w:rPr>
        <w:t>arrister</w:t>
      </w:r>
      <w:r w:rsidR="00E741B2">
        <w:rPr>
          <w:rFonts w:ascii="Adobe Garamond Pro" w:hAnsi="Adobe Garamond Pro"/>
          <w:b/>
        </w:rPr>
        <w:t>s</w:t>
      </w:r>
      <w:r w:rsidRPr="00E741B2">
        <w:rPr>
          <w:rFonts w:ascii="Adobe Garamond Pro" w:hAnsi="Adobe Garamond Pro"/>
          <w:b/>
        </w:rPr>
        <w:t xml:space="preserve"> made </w:t>
      </w:r>
      <w:r w:rsidR="00E741B2">
        <w:rPr>
          <w:rFonts w:ascii="Adobe Garamond Pro" w:hAnsi="Adobe Garamond Pro"/>
          <w:b/>
        </w:rPr>
        <w:t>recommendations</w:t>
      </w:r>
      <w:r w:rsidR="00E741B2" w:rsidRPr="00E741B2">
        <w:rPr>
          <w:rFonts w:ascii="Adobe Garamond Pro" w:hAnsi="Adobe Garamond Pro"/>
          <w:b/>
        </w:rPr>
        <w:t xml:space="preserve"> during the </w:t>
      </w:r>
      <w:r w:rsidR="00E741B2">
        <w:rPr>
          <w:rFonts w:ascii="Adobe Garamond Pro" w:hAnsi="Adobe Garamond Pro"/>
          <w:b/>
        </w:rPr>
        <w:t>reporting p</w:t>
      </w:r>
      <w:r w:rsidR="00E741B2" w:rsidRPr="00E741B2">
        <w:rPr>
          <w:rFonts w:ascii="Adobe Garamond Pro" w:hAnsi="Adobe Garamond Pro"/>
          <w:b/>
        </w:rPr>
        <w:t>eriod</w:t>
      </w:r>
    </w:p>
    <w:p w14:paraId="0E27A7C6" w14:textId="6A667F99" w:rsidR="00AA712A" w:rsidRPr="00E741B2" w:rsidRDefault="006220B9" w:rsidP="00E741B2">
      <w:pPr>
        <w:spacing w:after="120" w:line="240" w:lineRule="auto"/>
        <w:rPr>
          <w:rFonts w:ascii="Adobe Garamond Pro" w:hAnsi="Adobe Garamond Pro"/>
        </w:rPr>
      </w:pPr>
      <w:r w:rsidRPr="00E741B2">
        <w:rPr>
          <w:rFonts w:ascii="Adobe Garamond Pro" w:hAnsi="Adobe Garamond Pro"/>
        </w:rPr>
        <w:t>Total number:</w:t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  <w:r w:rsidRPr="00E741B2">
        <w:rPr>
          <w:rFonts w:ascii="Adobe Garamond Pro" w:hAnsi="Adobe Garamond Pro"/>
        </w:rPr>
        <w:tab/>
      </w:r>
    </w:p>
    <w:sectPr w:rsidR="00AA712A" w:rsidRPr="00E741B2" w:rsidSect="009C447B">
      <w:pgSz w:w="11906" w:h="16838"/>
      <w:pgMar w:top="567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A704" w14:textId="77777777" w:rsidR="00AE0BBB" w:rsidRDefault="00AE0BBB" w:rsidP="00CD5AAF">
      <w:pPr>
        <w:spacing w:after="0" w:line="240" w:lineRule="auto"/>
      </w:pPr>
      <w:r>
        <w:separator/>
      </w:r>
    </w:p>
  </w:endnote>
  <w:endnote w:type="continuationSeparator" w:id="0">
    <w:p w14:paraId="34E63D66" w14:textId="77777777" w:rsidR="00AE0BBB" w:rsidRDefault="00AE0BBB" w:rsidP="00CD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2181" w14:textId="77777777" w:rsidR="00A83748" w:rsidRDefault="00A83748" w:rsidP="00CD5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043AF" w14:textId="77777777" w:rsidR="00A83748" w:rsidRDefault="00A83748" w:rsidP="00CD5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1E37" w14:textId="0F79E205" w:rsidR="00A83748" w:rsidRDefault="00A83748" w:rsidP="00CD5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4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D2F701" w14:textId="77777777" w:rsidR="00A83748" w:rsidRDefault="00A83748" w:rsidP="00CD5A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B435" w14:textId="77777777" w:rsidR="00AE0BBB" w:rsidRDefault="00AE0BBB" w:rsidP="00CD5AAF">
      <w:pPr>
        <w:spacing w:after="0" w:line="240" w:lineRule="auto"/>
      </w:pPr>
      <w:r>
        <w:separator/>
      </w:r>
    </w:p>
  </w:footnote>
  <w:footnote w:type="continuationSeparator" w:id="0">
    <w:p w14:paraId="2C873C0B" w14:textId="77777777" w:rsidR="00AE0BBB" w:rsidRDefault="00AE0BBB" w:rsidP="00CD5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C2"/>
    <w:rsid w:val="00017667"/>
    <w:rsid w:val="0006023B"/>
    <w:rsid w:val="000E5A9B"/>
    <w:rsid w:val="0011075D"/>
    <w:rsid w:val="001370E0"/>
    <w:rsid w:val="00142604"/>
    <w:rsid w:val="00167D05"/>
    <w:rsid w:val="00167DC5"/>
    <w:rsid w:val="001C5431"/>
    <w:rsid w:val="001D43AF"/>
    <w:rsid w:val="00327DC2"/>
    <w:rsid w:val="003549D8"/>
    <w:rsid w:val="003C1BC9"/>
    <w:rsid w:val="004F7571"/>
    <w:rsid w:val="00551FD5"/>
    <w:rsid w:val="00561A73"/>
    <w:rsid w:val="005C1EDC"/>
    <w:rsid w:val="005D7CE7"/>
    <w:rsid w:val="006220B9"/>
    <w:rsid w:val="00647C60"/>
    <w:rsid w:val="00741E5C"/>
    <w:rsid w:val="0079600F"/>
    <w:rsid w:val="007C407B"/>
    <w:rsid w:val="007C5B08"/>
    <w:rsid w:val="0081039A"/>
    <w:rsid w:val="00866406"/>
    <w:rsid w:val="008F4976"/>
    <w:rsid w:val="009A62B3"/>
    <w:rsid w:val="009C447B"/>
    <w:rsid w:val="009D574B"/>
    <w:rsid w:val="00A539D1"/>
    <w:rsid w:val="00A83748"/>
    <w:rsid w:val="00AA256A"/>
    <w:rsid w:val="00AA712A"/>
    <w:rsid w:val="00AE0BBB"/>
    <w:rsid w:val="00B05982"/>
    <w:rsid w:val="00B42EF1"/>
    <w:rsid w:val="00B46CB6"/>
    <w:rsid w:val="00B76444"/>
    <w:rsid w:val="00BF6B93"/>
    <w:rsid w:val="00C07731"/>
    <w:rsid w:val="00C10906"/>
    <w:rsid w:val="00C17C8A"/>
    <w:rsid w:val="00C17F2E"/>
    <w:rsid w:val="00CB23F0"/>
    <w:rsid w:val="00CD5AAF"/>
    <w:rsid w:val="00D2715A"/>
    <w:rsid w:val="00D2779F"/>
    <w:rsid w:val="00D47D4B"/>
    <w:rsid w:val="00D60DD3"/>
    <w:rsid w:val="00D90F63"/>
    <w:rsid w:val="00E45092"/>
    <w:rsid w:val="00E741B2"/>
    <w:rsid w:val="00F0440E"/>
    <w:rsid w:val="00F24973"/>
    <w:rsid w:val="00F8392E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C87691"/>
  <w14:defaultImageDpi w14:val="300"/>
  <w15:docId w15:val="{E588D1E8-DF0B-4639-9B46-4AFE9A0F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DC2"/>
    <w:pPr>
      <w:spacing w:after="160" w:line="259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1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5A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741E5C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5A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AF"/>
    <w:rPr>
      <w:rFonts w:eastAsia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CD5AAF"/>
  </w:style>
  <w:style w:type="paragraph" w:styleId="Header">
    <w:name w:val="header"/>
    <w:basedOn w:val="Normal"/>
    <w:link w:val="HeaderChar"/>
    <w:uiPriority w:val="99"/>
    <w:unhideWhenUsed/>
    <w:rsid w:val="009C4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47B"/>
    <w:rPr>
      <w:rFonts w:eastAsiaTheme="minorHAns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F0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ABF7-548B-4C2E-BFEF-F9EF71C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McGrath</dc:creator>
  <cp:lastModifiedBy>Trevor Robinson</cp:lastModifiedBy>
  <cp:revision>2</cp:revision>
  <cp:lastPrinted>2018-02-08T00:24:00Z</cp:lastPrinted>
  <dcterms:created xsi:type="dcterms:W3CDTF">2018-02-14T01:26:00Z</dcterms:created>
  <dcterms:modified xsi:type="dcterms:W3CDTF">2018-02-14T01:26:00Z</dcterms:modified>
</cp:coreProperties>
</file>